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2"/>
          <w:szCs w:val="32"/>
          <w:lang w:val="en-US" w:eastAsia="zh-CN"/>
        </w:rPr>
        <w:t>1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关于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促进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一季度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工业生产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稳定运行有关措施的起草说明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CESI黑体-GB13000" w:hAnsi="CESI黑体-GB13000" w:eastAsia="CESI黑体-GB13000" w:cs="CESI黑体-GB13000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一、起草情况</w:t>
      </w:r>
      <w:r>
        <w:rPr>
          <w:rFonts w:hint="eastAsia" w:ascii="CESI黑体-GB13000" w:hAnsi="CESI黑体-GB13000" w:eastAsia="CESI黑体-GB13000" w:cs="CESI黑体-GB1300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  <w:lang w:val="en-US" w:eastAsia="zh-CN"/>
        </w:rPr>
        <w:t>为保障2025年全省工业生产运行平稳，促进一季度实现良好开局，为完成年度工作目标任务奠定基础，我厅抓紧抓早，10月，我厅发文向各地工信部门和企业征集2025年一季度全省工业稳定运行政策措施建议，在此基础上形成了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  <w:lang w:val="en-US" w:eastAsia="zh-CN"/>
        </w:rPr>
        <w:t>《促进2025年一季度工业生产稳定运行有关措施（征求意见稿）》（以下简称《措施》）。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CESI黑体-GB13000" w:hAnsi="CESI黑体-GB13000" w:eastAsia="CESI黑体-GB13000" w:cs="CESI黑体-GB13000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CESI黑体-GB13000" w:hAnsi="CESI黑体-GB13000" w:eastAsia="CESI黑体-GB13000" w:cs="CESI黑体-GB13000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二、政策措施内容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  <w:lang w:val="en-US" w:eastAsia="zh-CN"/>
        </w:rPr>
        <w:t>《措施》共提出鼓励企业增产增效、支持企业入规升级、助力企业拓展市场、保障企业用工稳岗、支持新能源汽车扩产、紧抓项目扩投资、加强企业协调服务等七条措施，具体如下：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kern w:val="2"/>
          <w:sz w:val="32"/>
          <w:szCs w:val="32"/>
          <w:u w:val="none" w:color="auto"/>
          <w:lang w:val="en-US" w:eastAsia="zh-CN" w:bidi="ar-SA"/>
        </w:rPr>
        <w:t>（一）鼓励企业增产增效。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  <w:lang w:val="en-US" w:eastAsia="zh-CN"/>
        </w:rPr>
        <w:t>对符合国家产业政策等规定的规模以上制造业企业，一季度用电和营收达到一定增速的企业按用电同比增量给予奖励。奖励采用财政补贴，通过电网公司代发的方式兑现。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000000"/>
          <w:sz w:val="32"/>
          <w:szCs w:val="32"/>
          <w:u w:val="none" w:color="auto"/>
        </w:rPr>
      </w:pPr>
      <w:r>
        <w:rPr>
          <w:rFonts w:hint="eastAsia" w:ascii="方正楷体_GBK" w:hAnsi="方正楷体_GBK" w:eastAsia="方正楷体_GBK" w:cs="方正楷体_GBK"/>
          <w:color w:val="000000"/>
          <w:kern w:val="2"/>
          <w:sz w:val="32"/>
          <w:szCs w:val="32"/>
          <w:u w:val="none" w:color="auto"/>
          <w:lang w:val="en-US" w:eastAsia="zh-CN" w:bidi="ar-SA"/>
        </w:rPr>
        <w:t>（二）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u w:val="none" w:color="auto"/>
          <w:lang w:val="en-US" w:eastAsia="zh-CN"/>
        </w:rPr>
        <w:t>支持企业新增纳统升级。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  <w:lang w:val="en-US" w:eastAsia="zh-CN"/>
        </w:rPr>
        <w:t>对新投产纳统的规上工业企业、规下转规上工业企业给予一次性奖励。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u w:val="none" w:color="auto"/>
          <w:lang w:val="en-US" w:eastAsia="zh-CN"/>
        </w:rPr>
        <w:t>（三）助力企业拓展市场。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  <w:lang w:val="en-US" w:eastAsia="zh-CN"/>
        </w:rPr>
        <w:t>对2025年各地工信部门牵头举办（含承办）的工业产品开拓市场活动，每场活动最高奖励100万元，对通过平台组织开展工业品供需对接活动的举办单位，按照活动规模及成效给予每场最高30万元奖励。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u w:val="none" w:color="auto"/>
          <w:lang w:eastAsia="zh-CN"/>
        </w:rPr>
        <w:t>（四）保障企业用工稳岗。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  <w:lang w:val="en-US" w:eastAsia="zh-CN"/>
        </w:rPr>
        <w:t>对春节保持连续生产的重点企业，可申请一次性稳就业奖补。对为企业引进劳动力的各类社会机构、个人给予一次性用工服务奖补。支持企业开展在岗职工职业技能培训。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eastAsia" w:ascii="方正楷体_GBK" w:hAnsi="方正楷体_GBK" w:eastAsia="方正楷体_GBK" w:cs="方正楷体_GBK"/>
          <w:color w:val="000000"/>
          <w:sz w:val="32"/>
          <w:szCs w:val="32"/>
          <w:u w:val="none" w:color="auto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u w:val="none" w:color="auto"/>
          <w:lang w:eastAsia="zh-CN"/>
        </w:rPr>
        <w:t>（五）支持新能源汽车扩产。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  <w:lang w:val="en-US" w:eastAsia="zh-CN"/>
        </w:rPr>
        <w:t>支持省内汽车生产企业扩大新能源汽车生产规模，在现有扶持政策基础上，对于生产企业2025年一季度较2024年一季度扩大生产部分给予奖。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none" w:color="auto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u w:val="none" w:color="auto"/>
          <w:lang w:eastAsia="zh-CN"/>
        </w:rPr>
        <w:t>（六）紧抓项目扩投资。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</w:rPr>
        <w:t>分级分类跟踪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  <w:lang w:eastAsia="zh-CN"/>
        </w:rPr>
        <w:t>服务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 w:color="auto"/>
        </w:rPr>
        <w:t>推进重点工业项目建设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 w:color="auto"/>
        </w:rPr>
        <w:t>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 w:color="auto"/>
          <w:lang w:val="en-US" w:eastAsia="zh-CN"/>
        </w:rPr>
        <w:t>精心组织走访对接推介，争取对接引进一批制造业项目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u w:val="none" w:color="auto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 w:color="auto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u w:val="none" w:color="auto"/>
          <w:lang w:eastAsia="zh-CN"/>
        </w:rPr>
        <w:t>（七）加强企业协调服务。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none" w:color="auto"/>
          <w:lang w:val="en-US" w:eastAsia="zh-CN"/>
        </w:rPr>
        <w:t>帮助企业做好生产衔接和煤电油气运等要素保障，指导企业提前组织好春节前后生产安排，开展走访慰问活动。加强企业节后复工情况跟踪，协调解决企业复工过程中遇到的困难问题。持续推动惠企政策“免申即享”提质扩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704020202020204"/>
    <w:charset w:val="00"/>
    <w:family w:val="auto"/>
    <w:pitch w:val="default"/>
    <w:sig w:usb0="E0002AFF" w:usb1="C0007843" w:usb2="00000009" w:usb3="00000000" w:csb0="400001FF" w:csb1="FFFF0000"/>
  </w:font>
  <w:font w:name="方正仿宋简体">
    <w:altName w:val="方正仿宋_GBK"/>
    <w:panose1 w:val="02010601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13000">
    <w:panose1 w:val="02000500000000000000"/>
    <w:charset w:val="86"/>
    <w:family w:val="auto"/>
    <w:pitch w:val="default"/>
    <w:sig w:usb0="800002BF" w:usb1="38CF7CF8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F0F26"/>
    <w:rsid w:val="2D7F0F26"/>
    <w:rsid w:val="74FF2A2E"/>
    <w:rsid w:val="7DFED7B4"/>
    <w:rsid w:val="A6F7F80B"/>
    <w:rsid w:val="AEDF5132"/>
    <w:rsid w:val="DFD549C6"/>
    <w:rsid w:val="F77D6D82"/>
    <w:rsid w:val="FE973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iPriority="99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99"/>
    <w:pPr>
      <w:spacing w:after="120" w:afterLines="0"/>
    </w:pPr>
    <w:rPr>
      <w:sz w:val="21"/>
      <w:szCs w:val="22"/>
    </w:rPr>
  </w:style>
  <w:style w:type="paragraph" w:styleId="3">
    <w:name w:val="index 7"/>
    <w:basedOn w:val="1"/>
    <w:next w:val="1"/>
    <w:unhideWhenUsed/>
    <w:qFormat/>
    <w:uiPriority w:val="99"/>
    <w:pPr>
      <w:ind w:left="252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Office_11.8.2.11958_F1E327BC-269C-435d-A152-05C5408002CA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2023-11-30T01:00:00Z</dcterms:created>
  <dc:creator>洪文殊</dc:creator>
  <cp:lastModifiedBy>洪文殊</cp:lastModifiedBy>
  <cp:lastPrinted>2023-11-30T01:16:00Z</cp:lastPrinted>
  <dcterms:modified xsi:type="dcterms:W3CDTF">2024-12-11T16:14:00Z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2052-11.8.2.11958</vt:lpwstr>
  </property>
  <property fmtid="{D5CDD505-2E9C-101B-9397-08002B2CF9AE}" pid="3" name="ICV">
    <vt:lpwstr>89593154F62EDED0D94859674256F568</vt:lpwstr>
  </property>
</Properties>
</file>