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outlineLvl w:val="0"/>
        <w:rPr>
          <w:rFonts w:asciiTheme="majorEastAsia" w:hAnsiTheme="majorEastAsia" w:eastAsiaTheme="majorEastAsia" w:cstheme="majorEastAsia"/>
          <w:bCs/>
          <w:sz w:val="36"/>
          <w:szCs w:val="44"/>
        </w:rPr>
      </w:pPr>
      <w:r>
        <w:rPr>
          <w:rFonts w:hint="eastAsia" w:asciiTheme="majorEastAsia" w:hAnsiTheme="majorEastAsia" w:eastAsiaTheme="majorEastAsia" w:cstheme="majorEastAsia"/>
          <w:bCs/>
          <w:sz w:val="24"/>
        </w:rPr>
        <w:t>附件一</w:t>
      </w:r>
      <w:r>
        <w:rPr>
          <w:rFonts w:hint="eastAsia" w:asciiTheme="majorEastAsia" w:hAnsiTheme="majorEastAsia" w:eastAsiaTheme="majorEastAsia" w:cstheme="majorEastAsia"/>
          <w:bCs/>
          <w:sz w:val="36"/>
          <w:szCs w:val="44"/>
        </w:rPr>
        <w:t>：</w:t>
      </w:r>
    </w:p>
    <w:p>
      <w:pPr>
        <w:wordWrap w:val="0"/>
        <w:topLinePunct/>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lang w:eastAsia="zh-CN"/>
        </w:rPr>
        <w:t>厦门市无线电管理局</w:t>
      </w:r>
      <w:r>
        <w:rPr>
          <w:rFonts w:hint="eastAsia" w:ascii="宋体" w:hAnsi="宋体" w:eastAsia="宋体" w:cs="宋体"/>
          <w:b/>
          <w:bCs/>
          <w:kern w:val="0"/>
          <w:sz w:val="36"/>
          <w:szCs w:val="36"/>
        </w:rPr>
        <w:t>监测测向机专项维修服务采购项目</w:t>
      </w:r>
    </w:p>
    <w:p>
      <w:pPr>
        <w:wordWrap w:val="0"/>
        <w:spacing w:line="360" w:lineRule="auto"/>
        <w:jc w:val="center"/>
        <w:outlineLvl w:val="0"/>
        <w:rPr>
          <w:rFonts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rPr>
        <w:t>服务内容及要求</w:t>
      </w:r>
    </w:p>
    <w:p>
      <w:pPr>
        <w:spacing w:line="360" w:lineRule="auto"/>
      </w:pPr>
    </w:p>
    <w:p>
      <w:pPr>
        <w:pStyle w:val="2"/>
        <w:pageBreakBefore w:val="0"/>
        <w:widowControl w:val="0"/>
        <w:kinsoku/>
        <w:wordWrap w:val="0"/>
        <w:overflowPunct/>
        <w:topLinePunct w:val="0"/>
        <w:autoSpaceDE/>
        <w:autoSpaceDN/>
        <w:bidi w:val="0"/>
        <w:adjustRightInd/>
        <w:snapToGrid/>
        <w:spacing w:beforeAutospacing="0" w:afterAutospacing="0" w:line="360" w:lineRule="auto"/>
        <w:outlineLvl w:val="1"/>
        <w:rPr>
          <w:rStyle w:val="7"/>
          <w:rFonts w:ascii="宋体" w:cs="宋体"/>
        </w:rPr>
      </w:pPr>
      <w:r>
        <w:rPr>
          <w:rStyle w:val="7"/>
          <w:rFonts w:hint="eastAsia" w:ascii="宋体" w:hAnsi="宋体" w:cs="宋体"/>
        </w:rPr>
        <w:t>一、项目概况</w:t>
      </w:r>
    </w:p>
    <w:p>
      <w:pPr>
        <w:pStyle w:val="2"/>
        <w:wordWrap w:val="0"/>
        <w:topLinePunct/>
        <w:spacing w:beforeAutospacing="0" w:afterAutospacing="0" w:line="360" w:lineRule="auto"/>
        <w:ind w:firstLine="480" w:firstLineChars="200"/>
        <w:jc w:val="both"/>
        <w:rPr>
          <w:rFonts w:ascii="宋体" w:hAnsi="宋体" w:cs="宋体"/>
        </w:rPr>
      </w:pPr>
      <w:r>
        <w:rPr>
          <w:rFonts w:hint="eastAsia" w:ascii="宋体" w:hAnsi="宋体" w:cs="宋体"/>
        </w:rPr>
        <w:t>厦门市无线电管理局部分进口监测测向机无法正常使用，为更有效地保障厦门地区监测测向技术支持能力，现拟对存在问题的监测测向机进行专项集中维修，使其恢复正常工作状态。具体情况可参见技术服务要求中的服务列表。</w:t>
      </w:r>
    </w:p>
    <w:p>
      <w:pPr>
        <w:pStyle w:val="2"/>
        <w:pageBreakBefore w:val="0"/>
        <w:widowControl w:val="0"/>
        <w:kinsoku/>
        <w:wordWrap w:val="0"/>
        <w:overflowPunct/>
        <w:topLinePunct w:val="0"/>
        <w:autoSpaceDE/>
        <w:autoSpaceDN/>
        <w:bidi w:val="0"/>
        <w:adjustRightInd/>
        <w:snapToGrid/>
        <w:spacing w:beforeAutospacing="0" w:afterAutospacing="0" w:line="360" w:lineRule="auto"/>
        <w:outlineLvl w:val="1"/>
        <w:rPr>
          <w:rStyle w:val="7"/>
          <w:rFonts w:ascii="宋体" w:cs="宋体"/>
        </w:rPr>
      </w:pPr>
      <w:r>
        <w:rPr>
          <w:rStyle w:val="7"/>
          <w:rFonts w:hint="eastAsia" w:ascii="宋体" w:hAnsi="宋体" w:cs="宋体"/>
        </w:rPr>
        <w:t>二、技术和服务要求</w:t>
      </w:r>
    </w:p>
    <w:p>
      <w:pPr>
        <w:wordWrap w:val="0"/>
        <w:topLinePunct/>
        <w:spacing w:line="360" w:lineRule="auto"/>
        <w:outlineLvl w:val="1"/>
        <w:rPr>
          <w:rFonts w:ascii="宋体" w:hAnsi="宋体" w:eastAsia="宋体" w:cs="宋体"/>
          <w:b/>
          <w:bCs/>
          <w:kern w:val="0"/>
          <w:sz w:val="24"/>
        </w:rPr>
      </w:pPr>
      <w:r>
        <w:rPr>
          <w:rFonts w:hint="eastAsia" w:ascii="宋体" w:hAnsi="宋体" w:eastAsia="宋体" w:cs="宋体"/>
          <w:b/>
          <w:bCs/>
          <w:kern w:val="0"/>
          <w:sz w:val="24"/>
        </w:rPr>
        <w:t>1、总体要求</w:t>
      </w:r>
    </w:p>
    <w:p>
      <w:pPr>
        <w:wordWrap w:val="0"/>
        <w:topLinePunct/>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对出现故障的监测测向机进行检查和维修，使其能恢复至正常工作状态。故障维修及服务内容主要包括：</w:t>
      </w:r>
    </w:p>
    <w:p>
      <w:pPr>
        <w:wordWrap w:val="0"/>
        <w:topLinePunct/>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（1）大西山固定站的ESMD监测接收机存在故障，需将设备拆除后进行检测维修调试至正常使用状态并重新安装回原站点，通过试运行后投入使用；</w:t>
      </w:r>
    </w:p>
    <w:p>
      <w:pPr>
        <w:wordWrap w:val="0"/>
        <w:topLinePunct/>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（2）五华固定站的DDF05E测向机组件EBD061和ET550存在故障，需将设备拆除后进行检测维修调试至正常使用状态并重新安装回原站点，通过试运行后投入使用。</w:t>
      </w:r>
    </w:p>
    <w:p>
      <w:pPr>
        <w:wordWrap w:val="0"/>
        <w:topLinePunct/>
        <w:spacing w:line="360" w:lineRule="auto"/>
        <w:outlineLvl w:val="1"/>
        <w:rPr>
          <w:rFonts w:hint="eastAsia" w:ascii="宋体" w:hAnsi="宋体" w:eastAsia="宋体" w:cs="宋体"/>
          <w:b/>
          <w:bCs/>
          <w:kern w:val="0"/>
          <w:sz w:val="24"/>
        </w:rPr>
      </w:pPr>
      <w:r>
        <w:rPr>
          <w:rFonts w:hint="eastAsia" w:ascii="宋体" w:hAnsi="宋体" w:eastAsia="宋体" w:cs="宋体"/>
          <w:b/>
          <w:bCs/>
          <w:kern w:val="0"/>
          <w:sz w:val="24"/>
        </w:rPr>
        <w:t>2、故障情况</w:t>
      </w:r>
    </w:p>
    <w:p>
      <w:pPr>
        <w:wordWrap w:val="0"/>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（1）大西山固定站，ESMD接收机。</w:t>
      </w:r>
    </w:p>
    <w:p>
      <w:pPr>
        <w:wordWrap w:val="0"/>
        <w:topLinePunct/>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开机自检失败：内部锂电池无电压；</w:t>
      </w:r>
    </w:p>
    <w:p>
      <w:pPr>
        <w:wordWrap w:val="0"/>
        <w:topLinePunct/>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长自检失败；</w:t>
      </w:r>
    </w:p>
    <w:p>
      <w:pPr>
        <w:wordWrap w:val="0"/>
        <w:topLinePunct/>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接收信号极弱（已排除天馈线问题）。</w:t>
      </w:r>
    </w:p>
    <w:p>
      <w:pPr>
        <w:wordWrap w:val="0"/>
        <w:topLinePunct/>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（2）五华固定站，DDF05E测向机（EBD061+ET550）。</w:t>
      </w:r>
    </w:p>
    <w:p>
      <w:pPr>
        <w:wordWrap w:val="0"/>
        <w:topLinePunct/>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EBD061开机后初始化死机；</w:t>
      </w:r>
    </w:p>
    <w:p>
      <w:pPr>
        <w:wordWrap w:val="0"/>
        <w:topLinePunct/>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ET550自检失败、参考频率失锁。</w:t>
      </w:r>
    </w:p>
    <w:p>
      <w:pPr>
        <w:wordWrap w:val="0"/>
        <w:topLinePunct/>
        <w:spacing w:line="360" w:lineRule="auto"/>
        <w:outlineLvl w:val="1"/>
        <w:rPr>
          <w:rFonts w:hint="eastAsia" w:ascii="宋体" w:hAnsi="宋体" w:eastAsia="宋体" w:cs="宋体"/>
          <w:b/>
          <w:bCs/>
          <w:kern w:val="0"/>
          <w:sz w:val="24"/>
        </w:rPr>
      </w:pPr>
      <w:r>
        <w:rPr>
          <w:rFonts w:hint="eastAsia" w:ascii="宋体" w:hAnsi="宋体" w:eastAsia="宋体" w:cs="宋体"/>
          <w:b/>
          <w:bCs/>
          <w:kern w:val="0"/>
          <w:sz w:val="24"/>
        </w:rPr>
        <w:t>3、详细故障维修内容及服务列表</w:t>
      </w:r>
    </w:p>
    <w:tbl>
      <w:tblPr>
        <w:tblStyle w:val="4"/>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1"/>
        <w:gridCol w:w="834"/>
        <w:gridCol w:w="581"/>
        <w:gridCol w:w="1004"/>
        <w:gridCol w:w="575"/>
        <w:gridCol w:w="482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390"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b/>
                <w:bCs/>
              </w:rPr>
            </w:pPr>
            <w:r>
              <w:rPr>
                <w:rFonts w:hint="eastAsia" w:ascii="宋体" w:hAnsi="宋体" w:cs="宋体"/>
                <w:b/>
                <w:bCs/>
              </w:rPr>
              <w:t>序号</w:t>
            </w:r>
          </w:p>
        </w:tc>
        <w:tc>
          <w:tcPr>
            <w:tcW w:w="451"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b/>
                <w:bCs/>
              </w:rPr>
            </w:pPr>
            <w:r>
              <w:rPr>
                <w:rFonts w:hint="eastAsia" w:ascii="宋体" w:hAnsi="宋体" w:cs="宋体"/>
                <w:b/>
                <w:bCs/>
              </w:rPr>
              <w:t>站点</w:t>
            </w:r>
          </w:p>
        </w:tc>
        <w:tc>
          <w:tcPr>
            <w:tcW w:w="314"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b/>
                <w:bCs/>
              </w:rPr>
            </w:pPr>
            <w:r>
              <w:rPr>
                <w:rFonts w:hint="eastAsia" w:ascii="宋体" w:hAnsi="宋体" w:cs="宋体"/>
                <w:b/>
                <w:bCs/>
              </w:rPr>
              <w:t>品牌</w:t>
            </w:r>
          </w:p>
        </w:tc>
        <w:tc>
          <w:tcPr>
            <w:tcW w:w="543"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b/>
                <w:bCs/>
              </w:rPr>
            </w:pPr>
            <w:r>
              <w:rPr>
                <w:rFonts w:hint="eastAsia" w:ascii="宋体" w:hAnsi="宋体" w:cs="宋体"/>
                <w:b/>
                <w:bCs/>
              </w:rPr>
              <w:t>设备名称</w:t>
            </w:r>
          </w:p>
        </w:tc>
        <w:tc>
          <w:tcPr>
            <w:tcW w:w="311"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b/>
                <w:bCs/>
              </w:rPr>
            </w:pPr>
            <w:r>
              <w:rPr>
                <w:rFonts w:hint="eastAsia" w:ascii="宋体" w:hAnsi="宋体" w:cs="宋体"/>
                <w:b/>
                <w:bCs/>
              </w:rPr>
              <w:t>数量</w:t>
            </w: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b/>
                <w:bCs/>
              </w:rPr>
            </w:pPr>
            <w:r>
              <w:rPr>
                <w:rFonts w:hint="eastAsia" w:ascii="宋体" w:hAnsi="宋体" w:cs="宋体"/>
                <w:b/>
                <w:bCs/>
              </w:rPr>
              <w:t>预计的维修、服务内容</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b/>
                <w:bCs/>
              </w:rPr>
            </w:pPr>
            <w:r>
              <w:rPr>
                <w:rFonts w:hint="eastAsia" w:ascii="宋体" w:hAnsi="宋体" w:cs="宋体"/>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390"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w:t>
            </w:r>
          </w:p>
        </w:tc>
        <w:tc>
          <w:tcPr>
            <w:tcW w:w="451"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大西山固定站</w:t>
            </w:r>
          </w:p>
        </w:tc>
        <w:tc>
          <w:tcPr>
            <w:tcW w:w="314"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R&amp;S</w:t>
            </w:r>
          </w:p>
        </w:tc>
        <w:tc>
          <w:tcPr>
            <w:tcW w:w="543"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ESMD</w:t>
            </w:r>
          </w:p>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监测接收机</w:t>
            </w:r>
          </w:p>
        </w:tc>
        <w:tc>
          <w:tcPr>
            <w:tcW w:w="311"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1台</w:t>
            </w: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更换内部锂电池</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390"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451"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314"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543"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311"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更换V/UHF预选器模块</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390"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451"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314"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543"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311"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设备整机功能性测试</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390"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451"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314"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543"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311"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维修前拆除及维修后安装</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90"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（2）</w:t>
            </w:r>
          </w:p>
        </w:tc>
        <w:tc>
          <w:tcPr>
            <w:tcW w:w="451"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五华固定站</w:t>
            </w:r>
          </w:p>
        </w:tc>
        <w:tc>
          <w:tcPr>
            <w:tcW w:w="314"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R&amp;S</w:t>
            </w:r>
          </w:p>
        </w:tc>
        <w:tc>
          <w:tcPr>
            <w:tcW w:w="543"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EBD061</w:t>
            </w:r>
          </w:p>
        </w:tc>
        <w:tc>
          <w:tcPr>
            <w:tcW w:w="311" w:type="pct"/>
            <w:vMerge w:val="restar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1台</w:t>
            </w: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更换DSP板上的ADSP子模块</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90"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451"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314"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543"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311"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设备整机功能性测试</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90"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451"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314"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543"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311"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维修前拆除及维修后安装</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90"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451"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314" w:type="pct"/>
            <w:vMerge w:val="continue"/>
            <w:tcBorders>
              <w:tl2br w:val="nil"/>
              <w:tr2bl w:val="nil"/>
            </w:tcBorders>
            <w:vAlign w:val="center"/>
          </w:tcPr>
          <w:p>
            <w:pPr>
              <w:pStyle w:val="2"/>
              <w:wordWrap w:val="0"/>
              <w:topLinePunct/>
              <w:spacing w:beforeAutospacing="0" w:afterAutospacing="0" w:line="360" w:lineRule="auto"/>
              <w:jc w:val="center"/>
              <w:textAlignment w:val="center"/>
            </w:pPr>
          </w:p>
        </w:tc>
        <w:tc>
          <w:tcPr>
            <w:tcW w:w="543" w:type="pct"/>
            <w:vMerge w:val="restart"/>
            <w:tcBorders>
              <w:tl2br w:val="nil"/>
              <w:tr2bl w:val="nil"/>
            </w:tcBorders>
            <w:vAlign w:val="center"/>
          </w:tcPr>
          <w:p>
            <w:pPr>
              <w:pStyle w:val="2"/>
              <w:wordWrap w:val="0"/>
              <w:topLinePunct/>
              <w:spacing w:beforeAutospacing="0" w:afterAutospacing="0" w:line="360" w:lineRule="auto"/>
              <w:jc w:val="center"/>
              <w:textAlignment w:val="center"/>
            </w:pPr>
            <w:r>
              <w:rPr>
                <w:rFonts w:hint="eastAsia" w:ascii="宋体" w:hAnsi="宋体" w:cs="宋体"/>
              </w:rPr>
              <w:t>ET550</w:t>
            </w:r>
          </w:p>
        </w:tc>
        <w:tc>
          <w:tcPr>
            <w:tcW w:w="311" w:type="pct"/>
            <w:vMerge w:val="restart"/>
            <w:tcBorders>
              <w:tl2br w:val="nil"/>
              <w:tr2bl w:val="nil"/>
            </w:tcBorders>
            <w:vAlign w:val="center"/>
          </w:tcPr>
          <w:p>
            <w:pPr>
              <w:pStyle w:val="2"/>
              <w:wordWrap w:val="0"/>
              <w:topLinePunct/>
              <w:spacing w:beforeAutospacing="0" w:afterAutospacing="0" w:line="360" w:lineRule="auto"/>
              <w:jc w:val="center"/>
              <w:textAlignment w:val="center"/>
            </w:pPr>
            <w:r>
              <w:rPr>
                <w:rFonts w:hint="eastAsia" w:ascii="宋体" w:hAnsi="宋体" w:cs="宋体"/>
                <w:lang w:val="en-US" w:eastAsia="zh-CN"/>
              </w:rPr>
              <w:t>1</w:t>
            </w:r>
            <w:r>
              <w:rPr>
                <w:rFonts w:hint="eastAsia" w:ascii="宋体" w:hAnsi="宋体" w:cs="宋体"/>
              </w:rPr>
              <w:t>台</w:t>
            </w: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更换频率合成器模块</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390" w:type="pct"/>
            <w:vMerge w:val="continue"/>
            <w:tcBorders>
              <w:tl2br w:val="nil"/>
              <w:tr2bl w:val="nil"/>
            </w:tcBorders>
            <w:vAlign w:val="center"/>
          </w:tcPr>
          <w:p>
            <w:pPr>
              <w:wordWrap w:val="0"/>
              <w:topLinePunct/>
              <w:spacing w:line="360" w:lineRule="auto"/>
              <w:jc w:val="center"/>
              <w:rPr>
                <w:rFonts w:ascii="宋体" w:hAnsi="宋体" w:eastAsia="宋体" w:cs="宋体"/>
                <w:kern w:val="0"/>
                <w:sz w:val="24"/>
                <w:szCs w:val="24"/>
              </w:rPr>
            </w:pPr>
          </w:p>
        </w:tc>
        <w:tc>
          <w:tcPr>
            <w:tcW w:w="451"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314" w:type="pct"/>
            <w:vMerge w:val="continue"/>
            <w:tcBorders>
              <w:tl2br w:val="nil"/>
              <w:tr2bl w:val="nil"/>
            </w:tcBorders>
            <w:vAlign w:val="center"/>
          </w:tcPr>
          <w:p>
            <w:pPr>
              <w:wordWrap w:val="0"/>
              <w:topLinePunct/>
              <w:spacing w:line="360" w:lineRule="auto"/>
              <w:jc w:val="center"/>
              <w:rPr>
                <w:rFonts w:ascii="宋体" w:hAnsi="宋体" w:eastAsia="宋体" w:cs="宋体"/>
                <w:kern w:val="0"/>
                <w:sz w:val="24"/>
                <w:szCs w:val="24"/>
              </w:rPr>
            </w:pPr>
          </w:p>
        </w:tc>
        <w:tc>
          <w:tcPr>
            <w:tcW w:w="543" w:type="pct"/>
            <w:vMerge w:val="continue"/>
            <w:tcBorders>
              <w:tl2br w:val="nil"/>
              <w:tr2bl w:val="nil"/>
            </w:tcBorders>
            <w:vAlign w:val="center"/>
          </w:tcPr>
          <w:p>
            <w:pPr>
              <w:wordWrap w:val="0"/>
              <w:topLinePunct/>
              <w:spacing w:line="360" w:lineRule="auto"/>
              <w:jc w:val="center"/>
              <w:rPr>
                <w:rFonts w:ascii="宋体" w:hAnsi="宋体" w:eastAsia="宋体" w:cs="宋体"/>
                <w:kern w:val="0"/>
                <w:sz w:val="24"/>
                <w:szCs w:val="24"/>
              </w:rPr>
            </w:pPr>
          </w:p>
        </w:tc>
        <w:tc>
          <w:tcPr>
            <w:tcW w:w="311" w:type="pct"/>
            <w:vMerge w:val="continue"/>
            <w:tcBorders>
              <w:tl2br w:val="nil"/>
              <w:tr2bl w:val="nil"/>
            </w:tcBorders>
            <w:vAlign w:val="center"/>
          </w:tcPr>
          <w:p>
            <w:pPr>
              <w:wordWrap w:val="0"/>
              <w:topLinePunct/>
              <w:spacing w:line="360" w:lineRule="auto"/>
              <w:jc w:val="center"/>
              <w:rPr>
                <w:rFonts w:ascii="宋体" w:hAnsi="宋体" w:eastAsia="宋体" w:cs="宋体"/>
                <w:kern w:val="0"/>
                <w:sz w:val="24"/>
                <w:szCs w:val="24"/>
              </w:rPr>
            </w:pP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设备整机功能性测试</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390"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451"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314"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543"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311" w:type="pct"/>
            <w:vMerge w:val="continue"/>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p>
        </w:tc>
        <w:tc>
          <w:tcPr>
            <w:tcW w:w="2609"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维修前拆除及维修后安装</w:t>
            </w:r>
          </w:p>
        </w:tc>
        <w:tc>
          <w:tcPr>
            <w:tcW w:w="382" w:type="pct"/>
            <w:tcBorders>
              <w:tl2br w:val="nil"/>
              <w:tr2bl w:val="nil"/>
            </w:tcBorders>
            <w:vAlign w:val="center"/>
          </w:tcPr>
          <w:p>
            <w:pPr>
              <w:pStyle w:val="2"/>
              <w:wordWrap w:val="0"/>
              <w:topLinePunct/>
              <w:spacing w:beforeAutospacing="0" w:afterAutospacing="0" w:line="360" w:lineRule="auto"/>
              <w:jc w:val="center"/>
              <w:textAlignment w:val="center"/>
              <w:rPr>
                <w:rFonts w:ascii="宋体" w:hAnsi="宋体" w:cs="宋体"/>
              </w:rPr>
            </w:pPr>
            <w:r>
              <w:rPr>
                <w:rFonts w:hint="eastAsia" w:ascii="宋体" w:hAnsi="宋体" w:cs="宋体"/>
              </w:rPr>
              <w:t>1项</w:t>
            </w:r>
          </w:p>
        </w:tc>
      </w:tr>
    </w:tbl>
    <w:p>
      <w:pPr>
        <w:wordWrap w:val="0"/>
        <w:topLinePunct/>
        <w:spacing w:line="360" w:lineRule="auto"/>
        <w:outlineLvl w:val="1"/>
        <w:rPr>
          <w:rFonts w:ascii="宋体" w:hAnsi="宋体" w:eastAsia="宋体" w:cs="宋体"/>
          <w:b/>
          <w:bCs/>
          <w:kern w:val="0"/>
          <w:sz w:val="24"/>
        </w:rPr>
      </w:pPr>
      <w:r>
        <w:rPr>
          <w:rFonts w:hint="eastAsia" w:ascii="宋体" w:hAnsi="宋体" w:eastAsia="宋体" w:cs="宋体"/>
          <w:b/>
          <w:bCs/>
          <w:kern w:val="0"/>
          <w:sz w:val="24"/>
        </w:rPr>
        <w:t>4、项目完成期及维修地点</w:t>
      </w:r>
    </w:p>
    <w:p>
      <w:pPr>
        <w:wordWrap w:val="0"/>
        <w:topLinePunct/>
        <w:spacing w:line="360" w:lineRule="auto"/>
        <w:ind w:firstLine="480" w:firstLineChars="200"/>
        <w:outlineLvl w:val="2"/>
        <w:rPr>
          <w:rFonts w:ascii="宋体" w:hAnsi="宋体" w:eastAsia="宋体" w:cs="宋体"/>
          <w:kern w:val="0"/>
          <w:sz w:val="24"/>
        </w:rPr>
      </w:pPr>
      <w:r>
        <w:rPr>
          <w:rFonts w:hint="eastAsia" w:ascii="宋体" w:hAnsi="宋体" w:eastAsia="宋体" w:cs="宋体"/>
          <w:kern w:val="0"/>
          <w:sz w:val="24"/>
        </w:rPr>
        <w:t>（1）交接地点：由采购人指定，供应商需按要求送至指定地点；</w:t>
      </w:r>
    </w:p>
    <w:p>
      <w:pPr>
        <w:wordWrap w:val="0"/>
        <w:topLinePunct/>
        <w:spacing w:line="360" w:lineRule="auto"/>
        <w:ind w:firstLine="480" w:firstLineChars="200"/>
        <w:outlineLvl w:val="2"/>
        <w:rPr>
          <w:rFonts w:ascii="宋体" w:hAnsi="宋体" w:eastAsia="宋体" w:cs="宋体"/>
          <w:kern w:val="0"/>
          <w:sz w:val="24"/>
        </w:rPr>
      </w:pPr>
      <w:r>
        <w:rPr>
          <w:rFonts w:hint="eastAsia" w:ascii="宋体" w:hAnsi="宋体" w:eastAsia="宋体" w:cs="宋体"/>
          <w:kern w:val="0"/>
          <w:sz w:val="24"/>
        </w:rPr>
        <w:t>（2）交接方式：现场交接；</w:t>
      </w:r>
    </w:p>
    <w:p>
      <w:pPr>
        <w:wordWrap w:val="0"/>
        <w:topLinePunct/>
        <w:spacing w:line="360" w:lineRule="auto"/>
        <w:ind w:firstLine="480" w:firstLineChars="200"/>
        <w:outlineLvl w:val="2"/>
        <w:rPr>
          <w:rFonts w:ascii="宋体" w:hAnsi="宋体" w:eastAsia="宋体" w:cs="宋体"/>
          <w:kern w:val="0"/>
          <w:sz w:val="24"/>
        </w:rPr>
      </w:pPr>
      <w:r>
        <w:rPr>
          <w:rFonts w:hint="eastAsia" w:ascii="宋体" w:hAnsi="宋体" w:eastAsia="宋体" w:cs="宋体"/>
          <w:kern w:val="0"/>
          <w:sz w:val="24"/>
        </w:rPr>
        <w:t>（3）项目完成期：供应商应在合同签订后60个工作日内将设施设备拆卸维修调试检测完毕提交给采购人，采购人收到设备后将对设备</w:t>
      </w:r>
      <w:r>
        <w:rPr>
          <w:rFonts w:hint="eastAsia" w:ascii="宋体" w:hAnsi="宋体" w:eastAsia="宋体" w:cs="宋体"/>
          <w:kern w:val="0"/>
          <w:sz w:val="24"/>
          <w:szCs w:val="24"/>
        </w:rPr>
        <w:t>品牌型号及数量</w:t>
      </w:r>
      <w:r>
        <w:rPr>
          <w:rFonts w:hint="eastAsia" w:ascii="宋体" w:hAnsi="宋体" w:eastAsia="宋体" w:cs="宋体"/>
          <w:kern w:val="0"/>
          <w:sz w:val="24"/>
        </w:rPr>
        <w:t>进行点验确认，确认无误后供应商应完成设备现场安装自检，安装自检完成后设备转入试运行，试运行结束后供应商应向采购人申请验收。</w:t>
      </w:r>
    </w:p>
    <w:p>
      <w:pPr>
        <w:wordWrap w:val="0"/>
        <w:topLinePunct/>
        <w:spacing w:line="360" w:lineRule="auto"/>
        <w:ind w:firstLine="480" w:firstLineChars="200"/>
        <w:outlineLvl w:val="2"/>
        <w:rPr>
          <w:rFonts w:ascii="宋体" w:hAnsi="宋体" w:eastAsia="宋体" w:cs="宋体"/>
          <w:kern w:val="0"/>
          <w:sz w:val="24"/>
        </w:rPr>
      </w:pPr>
      <w:r>
        <w:rPr>
          <w:rFonts w:hint="eastAsia" w:ascii="宋体" w:hAnsi="宋体" w:eastAsia="宋体" w:cs="宋体"/>
          <w:kern w:val="0"/>
          <w:sz w:val="24"/>
        </w:rPr>
        <w:t>（4）维修要求：货物维修标准应满足国家有关要求标准，故障接收机应能通过7天试运行测试，试运行期间应一直保持正常使用状态。</w:t>
      </w:r>
    </w:p>
    <w:p>
      <w:pPr>
        <w:wordWrap w:val="0"/>
        <w:topLinePunct/>
        <w:spacing w:line="360" w:lineRule="auto"/>
        <w:ind w:firstLine="480" w:firstLineChars="200"/>
        <w:outlineLvl w:val="2"/>
        <w:rPr>
          <w:rFonts w:ascii="宋体" w:hAnsi="宋体" w:eastAsia="宋体" w:cs="宋体"/>
          <w:kern w:val="0"/>
          <w:sz w:val="24"/>
        </w:rPr>
      </w:pPr>
      <w:r>
        <w:rPr>
          <w:rFonts w:hint="eastAsia" w:ascii="宋体" w:hAnsi="宋体" w:eastAsia="宋体" w:cs="宋体"/>
          <w:kern w:val="0"/>
          <w:sz w:val="24"/>
        </w:rPr>
        <w:t>（5）运输方式：相关货物包装必须满足实际运输要求，包装方式的确定及包装运输费用均由供应商承担；由于不适当的包装而造成货物在运输过程中有任何损坏均由供应商负责。</w:t>
      </w:r>
    </w:p>
    <w:p>
      <w:pPr>
        <w:wordWrap w:val="0"/>
        <w:topLinePunct/>
        <w:spacing w:line="360" w:lineRule="auto"/>
        <w:ind w:firstLine="480" w:firstLineChars="200"/>
        <w:outlineLvl w:val="2"/>
        <w:rPr>
          <w:rFonts w:ascii="宋体" w:hAnsi="宋体" w:eastAsia="宋体" w:cs="宋体"/>
          <w:kern w:val="0"/>
          <w:sz w:val="24"/>
        </w:rPr>
      </w:pPr>
      <w:r>
        <w:rPr>
          <w:rFonts w:hint="eastAsia" w:ascii="宋体" w:hAnsi="宋体" w:eastAsia="宋体" w:cs="宋体"/>
          <w:kern w:val="0"/>
          <w:sz w:val="24"/>
        </w:rPr>
        <w:t>注：包装应足以承受整个过程中的运输、转运、装卸、储存等，供应商应充分考虑到运输途中的各种情况(如暴露于恶劣气候等)和项目所在地的气候特点，以及露天存放的需要。</w:t>
      </w:r>
    </w:p>
    <w:p>
      <w:pPr>
        <w:wordWrap w:val="0"/>
        <w:topLinePunct/>
        <w:spacing w:line="360" w:lineRule="auto"/>
        <w:outlineLvl w:val="1"/>
        <w:rPr>
          <w:rFonts w:ascii="宋体" w:hAnsi="宋体" w:eastAsia="宋体" w:cs="宋体"/>
          <w:b/>
          <w:bCs/>
          <w:kern w:val="0"/>
          <w:sz w:val="24"/>
        </w:rPr>
      </w:pPr>
      <w:r>
        <w:rPr>
          <w:rFonts w:hint="eastAsia" w:ascii="宋体" w:hAnsi="宋体" w:eastAsia="宋体" w:cs="宋体"/>
          <w:b/>
          <w:bCs/>
          <w:kern w:val="0"/>
          <w:sz w:val="24"/>
        </w:rPr>
        <w:t>5、验收条件</w:t>
      </w:r>
    </w:p>
    <w:p>
      <w:pPr>
        <w:pStyle w:val="2"/>
        <w:wordWrap w:val="0"/>
        <w:topLinePunct/>
        <w:spacing w:beforeAutospacing="0" w:afterAutospacing="0" w:line="360" w:lineRule="auto"/>
        <w:ind w:firstLine="480" w:firstLineChars="200"/>
        <w:rPr>
          <w:rFonts w:ascii="宋体" w:hAnsi="宋体" w:cs="宋体"/>
        </w:rPr>
      </w:pPr>
      <w:r>
        <w:rPr>
          <w:rFonts w:hint="eastAsia" w:ascii="宋体" w:hAnsi="宋体" w:cs="宋体"/>
        </w:rPr>
        <w:t>（1）验收依据：供应商报价文件、厂家货物技术标准说明，均为验收依据，供应商维修后的设备需同时满足上述所有标准的要求。</w:t>
      </w:r>
    </w:p>
    <w:p>
      <w:pPr>
        <w:pStyle w:val="2"/>
        <w:wordWrap w:val="0"/>
        <w:topLinePunct/>
        <w:spacing w:beforeAutospacing="0" w:afterAutospacing="0" w:line="360" w:lineRule="auto"/>
        <w:ind w:firstLine="480" w:firstLineChars="200"/>
        <w:rPr>
          <w:rFonts w:ascii="宋体" w:hAnsi="宋体" w:cs="宋体"/>
        </w:rPr>
      </w:pPr>
      <w:r>
        <w:rPr>
          <w:rFonts w:hint="eastAsia" w:ascii="宋体" w:hAnsi="宋体" w:cs="宋体"/>
        </w:rPr>
        <w:t>（2）维修调试检测后设备点验：维修调试检测后的设备运抵采购人指定地点后由采购人和供应商双方对照详细维修内容及技术要求等标准对设备进行品牌型号、整体外观及数量点验确认。</w:t>
      </w:r>
    </w:p>
    <w:p>
      <w:pPr>
        <w:pStyle w:val="2"/>
        <w:wordWrap w:val="0"/>
        <w:topLinePunct/>
        <w:spacing w:beforeAutospacing="0" w:afterAutospacing="0" w:line="360" w:lineRule="auto"/>
        <w:ind w:firstLine="480" w:firstLineChars="200"/>
        <w:rPr>
          <w:rFonts w:ascii="宋体" w:hAnsi="宋体" w:cs="宋体"/>
        </w:rPr>
      </w:pPr>
      <w:r>
        <w:rPr>
          <w:rFonts w:hint="eastAsia" w:ascii="宋体" w:hAnsi="宋体" w:cs="宋体"/>
        </w:rPr>
        <w:t>（3）现场安装自检：点验确认后，供应商需对设备进行现场安装并对其整体性能和功能进行自检，自检结果需符合采购文件、响应文件及合同中的相关条款。</w:t>
      </w:r>
    </w:p>
    <w:p>
      <w:pPr>
        <w:pStyle w:val="2"/>
        <w:wordWrap w:val="0"/>
        <w:topLinePunct/>
        <w:spacing w:beforeAutospacing="0" w:afterAutospacing="0" w:line="360" w:lineRule="auto"/>
        <w:ind w:firstLine="480" w:firstLineChars="200"/>
        <w:rPr>
          <w:rFonts w:ascii="宋体" w:hAnsi="宋体" w:cs="宋体"/>
        </w:rPr>
      </w:pPr>
      <w:r>
        <w:rPr>
          <w:rFonts w:hint="eastAsia" w:ascii="宋体" w:hAnsi="宋体" w:cs="宋体"/>
        </w:rPr>
        <w:t>（4）试运行后验收：自检合格后，设备转入为期7天的试运行。试运行结束后，供应商应向采购人提交自检记录和试运行记录，并提出验收申请。经采购人同意后，双方共同进行设备的维修验收。</w:t>
      </w:r>
    </w:p>
    <w:p>
      <w:pPr>
        <w:pStyle w:val="2"/>
        <w:wordWrap w:val="0"/>
        <w:topLinePunct/>
        <w:spacing w:beforeAutospacing="0" w:afterAutospacing="0" w:line="360" w:lineRule="auto"/>
        <w:ind w:firstLine="480" w:firstLineChars="200"/>
        <w:rPr>
          <w:rFonts w:ascii="宋体" w:hAnsi="宋体" w:cs="宋体"/>
        </w:rPr>
      </w:pPr>
      <w:r>
        <w:rPr>
          <w:rFonts w:hint="eastAsia" w:ascii="宋体" w:hAnsi="宋体" w:cs="宋体"/>
        </w:rPr>
        <w:t>（5）若达到验收要求，双方共同在验收报告上盖章确认即视为本项目验收合格；若达不到验收要求，应予返工，直到达到要求为止。返工需人力、财力、工期延误等均由供应商承担。</w:t>
      </w:r>
    </w:p>
    <w:p>
      <w:pPr>
        <w:wordWrap w:val="0"/>
        <w:topLinePunct/>
        <w:spacing w:line="360" w:lineRule="auto"/>
        <w:outlineLvl w:val="1"/>
        <w:rPr>
          <w:rFonts w:ascii="宋体" w:hAnsi="宋体" w:eastAsia="宋体" w:cs="宋体"/>
          <w:b/>
          <w:bCs/>
          <w:kern w:val="0"/>
          <w:sz w:val="24"/>
        </w:rPr>
      </w:pPr>
      <w:r>
        <w:rPr>
          <w:rFonts w:hint="eastAsia" w:ascii="宋体" w:hAnsi="宋体" w:eastAsia="宋体" w:cs="宋体"/>
          <w:b/>
          <w:bCs/>
          <w:kern w:val="0"/>
          <w:sz w:val="24"/>
        </w:rPr>
        <w:t>6、售后服务要求</w:t>
      </w:r>
    </w:p>
    <w:p>
      <w:pPr>
        <w:pStyle w:val="2"/>
        <w:wordWrap w:val="0"/>
        <w:topLinePunct/>
        <w:spacing w:beforeAutospacing="0" w:afterAutospacing="0" w:line="360" w:lineRule="auto"/>
        <w:ind w:firstLine="480" w:firstLineChars="200"/>
        <w:rPr>
          <w:rFonts w:ascii="宋体" w:hAnsi="宋体" w:cs="宋体"/>
        </w:rPr>
      </w:pPr>
      <w:r>
        <w:rPr>
          <w:rFonts w:hint="eastAsia" w:ascii="宋体" w:hAnsi="宋体" w:cs="宋体"/>
        </w:rPr>
        <w:t>（1）供应商应在合同签订后60个工作日内将设备拆卸维修调试检测完毕提交给采购人，之后经过点验确认、现场安装自检及试运行后方可向采购人申请验收。供应商应提供至少3个月的维保期服务，自验收合格之日起计算。维保服务期内，须按合同条款提供服务。</w:t>
      </w:r>
    </w:p>
    <w:p>
      <w:pPr>
        <w:pStyle w:val="2"/>
        <w:wordWrap w:val="0"/>
        <w:topLinePunct/>
        <w:spacing w:beforeAutospacing="0" w:afterAutospacing="0" w:line="360" w:lineRule="auto"/>
        <w:ind w:firstLine="480" w:firstLineChars="200"/>
        <w:rPr>
          <w:rFonts w:ascii="宋体" w:hAnsi="宋体" w:cs="宋体"/>
        </w:rPr>
      </w:pPr>
      <w:r>
        <w:rPr>
          <w:rFonts w:hint="eastAsia" w:ascii="宋体" w:hAnsi="宋体" w:cs="宋体"/>
        </w:rPr>
        <w:t>（2）供应商在维保服务期内须提供上门维修服务，设备运行发生相同故障时供应商在接到采购人故障通知后需在6小时内响应，18小时内到达现场，免费负责修理或更换再次出现故障的元件、零部件或模块</w:t>
      </w:r>
      <w:r>
        <w:rPr>
          <w:rFonts w:hint="eastAsia" w:ascii="宋体" w:hAnsi="宋体" w:cs="宋体"/>
          <w:color w:val="000000"/>
          <w:shd w:val="clear" w:color="auto" w:fill="FFFFFF"/>
        </w:rPr>
        <w:t>（包括返厂维修）</w:t>
      </w:r>
      <w:r>
        <w:rPr>
          <w:rFonts w:hint="eastAsia" w:ascii="宋体" w:hAnsi="宋体" w:cs="宋体"/>
        </w:rPr>
        <w:t>，对造成的损失按合同规定赔偿及承担违约责任。</w:t>
      </w:r>
    </w:p>
    <w:p>
      <w:pPr>
        <w:pStyle w:val="2"/>
        <w:wordWrap w:val="0"/>
        <w:topLinePunct/>
        <w:spacing w:beforeAutospacing="0" w:afterAutospacing="0" w:line="360" w:lineRule="auto"/>
        <w:ind w:firstLine="480" w:firstLineChars="200"/>
        <w:rPr>
          <w:rFonts w:cs="宋体"/>
        </w:rPr>
      </w:pPr>
      <w:r>
        <w:rPr>
          <w:rFonts w:hint="eastAsia" w:ascii="宋体" w:hAnsi="宋体" w:cs="宋体"/>
        </w:rPr>
        <w:t>（3）供应商可视自身能力在响应文件中提供更优、更合理的维保服务期和售后服务承诺。</w:t>
      </w:r>
    </w:p>
    <w:p>
      <w:pPr>
        <w:pStyle w:val="2"/>
        <w:wordWrap w:val="0"/>
        <w:spacing w:beforeAutospacing="0" w:afterAutospacing="0" w:line="360" w:lineRule="auto"/>
        <w:outlineLvl w:val="1"/>
        <w:rPr>
          <w:rFonts w:ascii="宋体" w:hAnsi="宋体" w:eastAsia="宋体" w:cs="宋体"/>
          <w:b/>
          <w:bCs/>
          <w:color w:val="000000"/>
        </w:rPr>
      </w:pPr>
      <w:r>
        <w:rPr>
          <w:rFonts w:hint="eastAsia" w:ascii="宋体" w:hAnsi="宋体" w:eastAsia="宋体" w:cs="宋体"/>
          <w:b/>
          <w:bCs/>
          <w:color w:val="000000"/>
        </w:rPr>
        <w:t>三、商务条件</w:t>
      </w:r>
    </w:p>
    <w:p>
      <w:pPr>
        <w:pStyle w:val="2"/>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1.交付地点：</w:t>
      </w:r>
      <w:r>
        <w:rPr>
          <w:rFonts w:hint="eastAsia" w:ascii="宋体" w:hAnsi="宋体" w:cs="宋体"/>
          <w:b/>
          <w:bCs/>
          <w:color w:val="000000"/>
        </w:rPr>
        <w:t>采购人指定地点</w:t>
      </w:r>
    </w:p>
    <w:p>
      <w:pPr>
        <w:pStyle w:val="2"/>
        <w:wordWrap w:val="0"/>
        <w:spacing w:beforeAutospacing="0" w:afterAutospacing="0" w:line="360" w:lineRule="auto"/>
        <w:outlineLvl w:val="2"/>
        <w:rPr>
          <w:rFonts w:hint="eastAsia" w:ascii="宋体" w:hAnsi="宋体" w:cs="宋体"/>
          <w:b/>
          <w:bCs/>
          <w:color w:val="000000"/>
          <w:lang w:val="en-US" w:eastAsia="zh-CN"/>
        </w:rPr>
      </w:pPr>
      <w:r>
        <w:rPr>
          <w:rFonts w:hint="eastAsia" w:ascii="宋体" w:hAnsi="宋体" w:eastAsia="宋体" w:cs="宋体"/>
          <w:b/>
          <w:bCs/>
          <w:color w:val="000000"/>
        </w:rPr>
        <w:t>2.交付时间：</w:t>
      </w:r>
      <w:r>
        <w:rPr>
          <w:rFonts w:hint="eastAsia" w:ascii="宋体" w:hAnsi="宋体" w:cs="宋体"/>
          <w:b/>
          <w:bCs/>
          <w:color w:val="000000"/>
        </w:rPr>
        <w:t>合同</w:t>
      </w:r>
      <w:r>
        <w:rPr>
          <w:rFonts w:hint="eastAsia" w:ascii="宋体" w:hAnsi="宋体" w:cs="宋体"/>
          <w:b/>
          <w:bCs/>
          <w:color w:val="000000"/>
          <w:lang w:val="en-US" w:eastAsia="zh-CN"/>
        </w:rPr>
        <w:t>签订之日起60个工作日内</w:t>
      </w:r>
    </w:p>
    <w:p>
      <w:pPr>
        <w:pStyle w:val="2"/>
        <w:wordWrap w:val="0"/>
        <w:spacing w:beforeAutospacing="0" w:afterAutospacing="0" w:line="360" w:lineRule="auto"/>
        <w:outlineLvl w:val="2"/>
        <w:rPr>
          <w:rFonts w:hint="eastAsia" w:ascii="宋体" w:hAnsi="宋体" w:eastAsia="宋体" w:cs="宋体"/>
          <w:b/>
          <w:bCs/>
          <w:color w:val="000000"/>
          <w:lang w:eastAsia="zh-CN"/>
        </w:rPr>
      </w:pPr>
      <w:r>
        <w:rPr>
          <w:rFonts w:hint="eastAsia" w:ascii="宋体" w:hAnsi="宋体" w:eastAsia="宋体" w:cs="宋体"/>
          <w:b/>
          <w:bCs/>
          <w:color w:val="000000"/>
        </w:rPr>
        <w:t>3.交付条件：</w:t>
      </w:r>
      <w:r>
        <w:rPr>
          <w:rFonts w:hint="eastAsia" w:ascii="宋体" w:hAnsi="宋体" w:eastAsia="宋体" w:cs="宋体"/>
          <w:b/>
          <w:bCs/>
          <w:color w:val="000000"/>
          <w:lang w:eastAsia="zh-CN"/>
        </w:rPr>
        <w:t>验收合格后交付</w:t>
      </w:r>
    </w:p>
    <w:p>
      <w:pPr>
        <w:pStyle w:val="2"/>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4.是否收取履约保证金：否</w:t>
      </w:r>
    </w:p>
    <w:p>
      <w:pPr>
        <w:pStyle w:val="2"/>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5.是否邀请投标人参与验收：否</w:t>
      </w:r>
    </w:p>
    <w:p>
      <w:pPr>
        <w:pStyle w:val="2"/>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rPr>
        <w:t>6.验收方式数据表格</w:t>
      </w:r>
    </w:p>
    <w:tbl>
      <w:tblPr>
        <w:tblStyle w:val="5"/>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4"/>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wordWrap w:val="0"/>
              <w:spacing w:line="360" w:lineRule="auto"/>
              <w:jc w:val="center"/>
              <w:rPr>
                <w:rFonts w:ascii="宋体" w:hAnsi="宋体" w:eastAsia="宋体" w:cs="宋体"/>
                <w:color w:val="000000"/>
                <w:sz w:val="24"/>
              </w:rPr>
            </w:pPr>
            <w:r>
              <w:rPr>
                <w:rFonts w:hint="eastAsia" w:ascii="宋体" w:hAnsi="宋体" w:eastAsia="宋体" w:cs="宋体"/>
                <w:color w:val="000000"/>
                <w:kern w:val="0"/>
                <w:sz w:val="24"/>
              </w:rPr>
              <w:t>验收期次</w:t>
            </w:r>
          </w:p>
        </w:tc>
        <w:tc>
          <w:tcPr>
            <w:tcW w:w="4397" w:type="pct"/>
            <w:vAlign w:val="center"/>
          </w:tcPr>
          <w:p>
            <w:pPr>
              <w:wordWrap w:val="0"/>
              <w:spacing w:line="360" w:lineRule="auto"/>
              <w:jc w:val="center"/>
              <w:rPr>
                <w:rFonts w:ascii="宋体" w:hAnsi="宋体" w:eastAsia="宋体" w:cs="宋体"/>
                <w:color w:val="000000"/>
                <w:sz w:val="24"/>
              </w:rPr>
            </w:pPr>
            <w:r>
              <w:rPr>
                <w:rFonts w:hint="eastAsia" w:ascii="宋体" w:hAnsi="宋体" w:eastAsia="宋体" w:cs="宋体"/>
                <w:color w:val="000000"/>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wordWrap w:val="0"/>
              <w:spacing w:line="360" w:lineRule="auto"/>
              <w:jc w:val="center"/>
              <w:rPr>
                <w:rFonts w:ascii="宋体" w:hAnsi="宋体" w:eastAsia="宋体" w:cs="宋体"/>
                <w:color w:val="000000"/>
                <w:sz w:val="24"/>
              </w:rPr>
            </w:pPr>
            <w:r>
              <w:rPr>
                <w:rFonts w:hint="eastAsia" w:ascii="宋体" w:hAnsi="宋体" w:cs="宋体"/>
                <w:color w:val="000000"/>
                <w:sz w:val="24"/>
              </w:rPr>
              <w:t>1</w:t>
            </w:r>
          </w:p>
        </w:tc>
        <w:tc>
          <w:tcPr>
            <w:tcW w:w="4397" w:type="pct"/>
            <w:vAlign w:val="center"/>
          </w:tcPr>
          <w:p>
            <w:pPr>
              <w:pStyle w:val="2"/>
              <w:wordWrap w:val="0"/>
              <w:spacing w:beforeAutospacing="0" w:afterAutospacing="0" w:line="360" w:lineRule="auto"/>
              <w:rPr>
                <w:rFonts w:ascii="宋体" w:hAnsi="宋体" w:eastAsia="宋体" w:cs="宋体"/>
                <w:color w:val="000000"/>
              </w:rPr>
            </w:pPr>
            <w:r>
              <w:rPr>
                <w:rFonts w:hint="eastAsia" w:ascii="宋体" w:hAnsi="宋体" w:cs="宋体"/>
              </w:rPr>
              <w:t>维修调试检测后的设备运抵采购人指定地点后由采购人和</w:t>
            </w:r>
            <w:r>
              <w:rPr>
                <w:rFonts w:hint="eastAsia" w:ascii="宋体" w:hAnsi="宋体" w:cs="宋体"/>
                <w:lang w:eastAsia="zh-CN"/>
              </w:rPr>
              <w:t>中选单位</w:t>
            </w:r>
            <w:r>
              <w:rPr>
                <w:rFonts w:hint="eastAsia" w:ascii="宋体" w:hAnsi="宋体" w:cs="宋体"/>
              </w:rPr>
              <w:t>双方对照详细维修内容及技术要求等标准对设备进行品牌型号、整体外观及数量点验确认</w:t>
            </w:r>
            <w:r>
              <w:t>；由</w:t>
            </w:r>
            <w:r>
              <w:rPr>
                <w:rFonts w:hint="eastAsia"/>
                <w:lang w:eastAsia="zh-CN"/>
              </w:rPr>
              <w:t>中选单位</w:t>
            </w:r>
            <w:r>
              <w:t>完成维修设备的原站安装调试后，</w:t>
            </w:r>
            <w:r>
              <w:rPr>
                <w:rFonts w:hint="eastAsia"/>
                <w:lang w:eastAsia="zh-CN"/>
              </w:rPr>
              <w:t>中选单位</w:t>
            </w:r>
            <w:r>
              <w:t>需对设备物的整体性能和功能进行自检，自检结果需符合采购文件、响应文件及合同中的相关条款，自检合格后，设备转入为期一周的试运行。试运行结束后，</w:t>
            </w:r>
            <w:r>
              <w:rPr>
                <w:rFonts w:hint="eastAsia"/>
                <w:lang w:eastAsia="zh-CN"/>
              </w:rPr>
              <w:t>中选单位</w:t>
            </w:r>
            <w:r>
              <w:t>应向采购人提交自检记录和试运行记录，并提出验收申请，</w:t>
            </w:r>
            <w:r>
              <w:rPr>
                <w:rFonts w:hint="eastAsia" w:ascii="宋体" w:hAnsi="宋体" w:cs="宋体"/>
              </w:rPr>
              <w:t>经采购人同意后，双方共同进行设备的维修验收</w:t>
            </w:r>
            <w:r>
              <w:t>。</w:t>
            </w:r>
            <w:r>
              <w:rPr>
                <w:rFonts w:hint="eastAsia" w:ascii="宋体" w:hAnsi="宋体" w:eastAsia="宋体" w:cs="宋体"/>
                <w:sz w:val="24"/>
                <w:szCs w:val="24"/>
              </w:rPr>
              <w:t>采购人对</w:t>
            </w:r>
            <w:r>
              <w:rPr>
                <w:rFonts w:hint="eastAsia" w:ascii="宋体" w:hAnsi="宋体" w:eastAsia="宋体" w:cs="宋体"/>
                <w:sz w:val="24"/>
                <w:szCs w:val="24"/>
                <w:lang w:eastAsia="zh-CN"/>
              </w:rPr>
              <w:t>维修</w:t>
            </w:r>
            <w:r>
              <w:rPr>
                <w:rFonts w:hint="eastAsia" w:ascii="宋体" w:hAnsi="宋体" w:eastAsia="宋体" w:cs="宋体"/>
                <w:sz w:val="24"/>
                <w:szCs w:val="24"/>
              </w:rPr>
              <w:t>内容予以核实，确认</w:t>
            </w:r>
            <w:r>
              <w:rPr>
                <w:rFonts w:hint="eastAsia" w:ascii="宋体" w:hAnsi="宋体" w:eastAsia="宋体" w:cs="宋体"/>
                <w:sz w:val="24"/>
                <w:szCs w:val="24"/>
                <w:lang w:eastAsia="zh-CN"/>
              </w:rPr>
              <w:t>符合其维修要求</w:t>
            </w:r>
            <w:r>
              <w:rPr>
                <w:rFonts w:hint="eastAsia" w:ascii="宋体" w:hAnsi="宋体" w:eastAsia="宋体" w:cs="宋体"/>
                <w:sz w:val="24"/>
                <w:szCs w:val="24"/>
              </w:rPr>
              <w:t>后</w:t>
            </w:r>
            <w:r>
              <w:rPr>
                <w:rFonts w:hint="eastAsia" w:ascii="宋体" w:hAnsi="宋体" w:cs="宋体"/>
              </w:rPr>
              <w:t>双方共同在验收报告上盖章确认即视为本项目验收合格</w:t>
            </w:r>
            <w:r>
              <w:rPr>
                <w:rFonts w:hint="eastAsia" w:ascii="宋体" w:hAnsi="宋体" w:eastAsia="宋体" w:cs="宋体"/>
                <w:sz w:val="24"/>
                <w:szCs w:val="24"/>
              </w:rPr>
              <w:t>。</w:t>
            </w:r>
          </w:p>
        </w:tc>
      </w:tr>
    </w:tbl>
    <w:p>
      <w:pPr>
        <w:wordWrap w:val="0"/>
        <w:spacing w:line="360" w:lineRule="auto"/>
        <w:jc w:val="left"/>
        <w:outlineLvl w:val="2"/>
        <w:rPr>
          <w:rFonts w:ascii="宋体" w:hAnsi="宋体" w:eastAsia="宋体" w:cs="宋体"/>
          <w:b/>
          <w:bCs/>
          <w:color w:val="000000"/>
          <w:kern w:val="0"/>
          <w:sz w:val="24"/>
        </w:rPr>
      </w:pPr>
      <w:r>
        <w:rPr>
          <w:rFonts w:hint="eastAsia" w:ascii="宋体" w:hAnsi="宋体" w:eastAsia="宋体" w:cs="宋体"/>
          <w:b/>
          <w:bCs/>
          <w:color w:val="000000"/>
          <w:kern w:val="0"/>
          <w:sz w:val="24"/>
        </w:rPr>
        <w:t>7.支付方式</w:t>
      </w:r>
    </w:p>
    <w:p>
      <w:pPr>
        <w:pStyle w:val="3"/>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合同款项的支付应按照招标文件的规定进行，具体如下：</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1"/>
        <w:gridCol w:w="1475"/>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4" w:type="pct"/>
            <w:vAlign w:val="center"/>
          </w:tcPr>
          <w:p>
            <w:pPr>
              <w:wordWrap w:val="0"/>
              <w:spacing w:line="360" w:lineRule="auto"/>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kern w:val="0"/>
                <w:sz w:val="24"/>
              </w:rPr>
              <w:t>支付期次</w:t>
            </w:r>
          </w:p>
        </w:tc>
        <w:tc>
          <w:tcPr>
            <w:tcW w:w="812" w:type="pct"/>
            <w:vAlign w:val="center"/>
          </w:tcPr>
          <w:p>
            <w:pPr>
              <w:wordWrap w:val="0"/>
              <w:spacing w:line="360" w:lineRule="auto"/>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kern w:val="0"/>
                <w:sz w:val="24"/>
              </w:rPr>
              <w:t>支付比例(%)</w:t>
            </w:r>
          </w:p>
        </w:tc>
        <w:tc>
          <w:tcPr>
            <w:tcW w:w="3604" w:type="pct"/>
            <w:vAlign w:val="center"/>
          </w:tcPr>
          <w:p>
            <w:pPr>
              <w:wordWrap w:val="0"/>
              <w:spacing w:line="360" w:lineRule="auto"/>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4" w:type="pct"/>
            <w:vAlign w:val="center"/>
          </w:tcPr>
          <w:p>
            <w:pPr>
              <w:wordWrap w:val="0"/>
              <w:spacing w:line="360" w:lineRule="auto"/>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kern w:val="0"/>
                <w:sz w:val="24"/>
              </w:rPr>
              <w:t>1</w:t>
            </w:r>
          </w:p>
        </w:tc>
        <w:tc>
          <w:tcPr>
            <w:tcW w:w="812" w:type="pct"/>
            <w:vAlign w:val="center"/>
          </w:tcPr>
          <w:p>
            <w:pPr>
              <w:wordWrap w:val="0"/>
              <w:spacing w:line="360" w:lineRule="auto"/>
              <w:jc w:val="center"/>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kern w:val="0"/>
                <w:sz w:val="24"/>
              </w:rPr>
              <w:t>100</w:t>
            </w:r>
          </w:p>
        </w:tc>
        <w:tc>
          <w:tcPr>
            <w:tcW w:w="3604" w:type="pct"/>
            <w:vAlign w:val="center"/>
          </w:tcPr>
          <w:p>
            <w:pPr>
              <w:wordWrap w:val="0"/>
              <w:spacing w:line="360" w:lineRule="auto"/>
              <w:jc w:val="left"/>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cs="宋体"/>
                <w:color w:val="000000"/>
                <w:sz w:val="24"/>
                <w:shd w:val="clear" w:color="auto" w:fill="FFFFFF"/>
                <w:lang w:eastAsia="zh-CN"/>
              </w:rPr>
              <w:t>验收合格</w:t>
            </w:r>
            <w:r>
              <w:rPr>
                <w:rFonts w:hint="eastAsia" w:ascii="宋体" w:hAnsi="宋体" w:cs="宋体"/>
                <w:color w:val="000000"/>
                <w:sz w:val="24"/>
                <w:shd w:val="clear" w:color="auto" w:fill="FFFFFF"/>
              </w:rPr>
              <w:t>后，</w:t>
            </w:r>
            <w:r>
              <w:rPr>
                <w:rFonts w:hint="eastAsia" w:ascii="宋体" w:hAnsi="宋体" w:cs="宋体"/>
                <w:color w:val="000000"/>
                <w:sz w:val="24"/>
                <w:shd w:val="clear" w:color="auto" w:fill="FFFFFF"/>
                <w:lang w:eastAsia="zh-CN"/>
              </w:rPr>
              <w:t>中选单位</w:t>
            </w:r>
            <w:r>
              <w:rPr>
                <w:rFonts w:hint="eastAsia" w:ascii="宋体" w:hAnsi="宋体" w:cs="宋体"/>
                <w:color w:val="000000"/>
                <w:sz w:val="24"/>
                <w:shd w:val="clear" w:color="auto" w:fill="FFFFFF"/>
              </w:rPr>
              <w:t>开具本合同总金额100%</w:t>
            </w:r>
            <w:r>
              <w:rPr>
                <w:rFonts w:hint="eastAsia" w:ascii="宋体" w:hAnsi="宋体" w:cs="宋体"/>
                <w:color w:val="000000"/>
                <w:sz w:val="24"/>
                <w:shd w:val="clear" w:color="auto" w:fill="FFFFFF"/>
                <w:lang w:eastAsia="zh-CN"/>
              </w:rPr>
              <w:t>的</w:t>
            </w:r>
            <w:r>
              <w:rPr>
                <w:rFonts w:hint="eastAsia" w:ascii="宋体" w:hAnsi="宋体" w:cs="宋体"/>
                <w:color w:val="000000"/>
                <w:sz w:val="24"/>
                <w:shd w:val="clear" w:color="auto" w:fill="FFFFFF"/>
              </w:rPr>
              <w:t>正式发票给采购人，采购人15个工作日内支付本合同总金额100%</w:t>
            </w:r>
            <w:r>
              <w:rPr>
                <w:rFonts w:hint="eastAsia" w:ascii="宋体" w:hAnsi="宋体" w:eastAsia="宋体" w:cs="宋体"/>
                <w:kern w:val="0"/>
                <w:sz w:val="24"/>
              </w:rPr>
              <w:t>。</w:t>
            </w:r>
          </w:p>
        </w:tc>
      </w:tr>
    </w:tbl>
    <w:p>
      <w:pPr>
        <w:pStyle w:val="2"/>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shd w:val="clear" w:color="auto" w:fill="FFFFFF"/>
        </w:rPr>
        <w:t>8.违约责任</w:t>
      </w:r>
    </w:p>
    <w:p>
      <w:pPr>
        <w:pStyle w:val="2"/>
        <w:wordWrap w:val="0"/>
        <w:spacing w:beforeAutospacing="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8.1因</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原因造成采购合同无法按时签订，视为</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违约，</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违约对采购人造成的损失的，需另行支付相应的赔偿。</w:t>
      </w:r>
    </w:p>
    <w:p>
      <w:pPr>
        <w:pStyle w:val="2"/>
        <w:wordWrap w:val="0"/>
        <w:spacing w:beforeAutospacing="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8.2在签定采购合同之后，</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要求解除合同的，视为</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违约，对采购人造成的损失的，</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需支付相应的赔偿。</w:t>
      </w:r>
    </w:p>
    <w:p>
      <w:pPr>
        <w:pStyle w:val="2"/>
        <w:wordWrap w:val="0"/>
        <w:spacing w:beforeAutospacing="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8.3因</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原因发生重大质量事故，除依约承担赔偿责任外，还将按有关质量管理办法规定执行。同时，采购人有权保留更换</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的权利，并报相关行政主管部门处罚。</w:t>
      </w:r>
    </w:p>
    <w:p>
      <w:pPr>
        <w:pStyle w:val="2"/>
        <w:wordWrap w:val="0"/>
        <w:spacing w:beforeAutospacing="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8.4若发生死亡安全事故，除按国家有关安全管理规定及采购人有关安全管理办法执行外，并报相关行政主管部门处罚；发生重大安全事故或特大安全事故，除按国家有关安全管理规定执行外，采购人有权终止合同，给采购人造成的损失，还应承担赔偿责任。</w:t>
      </w:r>
    </w:p>
    <w:p>
      <w:pPr>
        <w:pStyle w:val="2"/>
        <w:wordWrap w:val="0"/>
        <w:spacing w:beforeAutospacing="0" w:afterAutospacing="0" w:line="360" w:lineRule="auto"/>
        <w:ind w:firstLine="480" w:firstLineChars="200"/>
        <w:rPr>
          <w:rFonts w:ascii="宋体" w:hAnsi="宋体" w:eastAsia="宋体" w:cs="宋体"/>
          <w:color w:val="000000"/>
        </w:rPr>
      </w:pPr>
      <w:r>
        <w:rPr>
          <w:rFonts w:hint="eastAsia" w:ascii="宋体" w:hAnsi="宋体" w:cs="宋体"/>
          <w:color w:val="000000"/>
          <w:shd w:val="clear" w:color="auto" w:fill="FFFFFF"/>
        </w:rPr>
        <w:t>8.5在明确违约责任后，</w:t>
      </w:r>
      <w:r>
        <w:rPr>
          <w:rFonts w:hint="eastAsia" w:ascii="宋体" w:hAnsi="宋体" w:cs="宋体"/>
          <w:color w:val="000000"/>
          <w:shd w:val="clear" w:color="auto" w:fill="FFFFFF"/>
          <w:lang w:eastAsia="zh-CN"/>
        </w:rPr>
        <w:t>中选单位</w:t>
      </w:r>
      <w:r>
        <w:rPr>
          <w:rFonts w:hint="eastAsia" w:ascii="宋体" w:hAnsi="宋体" w:cs="宋体"/>
          <w:color w:val="000000"/>
          <w:shd w:val="clear" w:color="auto" w:fill="FFFFFF"/>
        </w:rPr>
        <w:t>应在接到书面通知书起七天内支付违约金、赔偿金等。</w:t>
      </w:r>
    </w:p>
    <w:p>
      <w:pPr>
        <w:pStyle w:val="2"/>
        <w:wordWrap w:val="0"/>
        <w:spacing w:beforeAutospacing="0" w:afterAutospacing="0" w:line="360" w:lineRule="auto"/>
        <w:outlineLvl w:val="2"/>
        <w:rPr>
          <w:rFonts w:ascii="宋体" w:hAnsi="宋体" w:eastAsia="宋体" w:cs="宋体"/>
          <w:b/>
          <w:bCs/>
          <w:color w:val="000000"/>
        </w:rPr>
      </w:pPr>
      <w:r>
        <w:rPr>
          <w:rFonts w:hint="eastAsia" w:ascii="宋体" w:hAnsi="宋体" w:cs="宋体"/>
          <w:b/>
          <w:bCs/>
          <w:color w:val="000000"/>
          <w:shd w:val="clear" w:color="auto" w:fill="FFFFFF"/>
        </w:rPr>
        <w:t>9</w:t>
      </w:r>
      <w:r>
        <w:rPr>
          <w:rFonts w:hint="eastAsia" w:ascii="宋体" w:hAnsi="宋体" w:eastAsia="宋体" w:cs="宋体"/>
          <w:b/>
          <w:bCs/>
          <w:color w:val="000000"/>
          <w:shd w:val="clear" w:color="auto" w:fill="FFFFFF"/>
        </w:rPr>
        <w:t>.知识产权</w:t>
      </w:r>
    </w:p>
    <w:p>
      <w:pPr>
        <w:pStyle w:val="2"/>
        <w:wordWrap w:val="0"/>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lang w:eastAsia="zh-CN"/>
        </w:rPr>
        <w:t>中选单位</w:t>
      </w:r>
      <w:r>
        <w:rPr>
          <w:rFonts w:hint="eastAsia" w:ascii="宋体" w:hAnsi="宋体" w:eastAsia="宋体" w:cs="宋体"/>
          <w:color w:val="000000"/>
          <w:shd w:val="clear" w:color="auto" w:fill="FFFFFF"/>
        </w:rPr>
        <w:t>须保障采购人在使用服务或其任何一部分时不受到第三方关于侵犯知识产权的指控。如果任何第三方提出侵权指控与采购人无关，人须与第三方交涉并承担可能发生的责任与一切费用。如采购人因此而遭致损失的，人应赔偿该损失。</w:t>
      </w:r>
    </w:p>
    <w:p>
      <w:pPr>
        <w:pStyle w:val="2"/>
        <w:wordWrap w:val="0"/>
        <w:spacing w:beforeAutospacing="0" w:afterAutospacing="0" w:line="360" w:lineRule="auto"/>
        <w:outlineLvl w:val="2"/>
        <w:rPr>
          <w:rFonts w:ascii="宋体" w:hAnsi="宋体" w:eastAsia="宋体" w:cs="宋体"/>
          <w:b/>
          <w:bCs/>
          <w:color w:val="000000"/>
        </w:rPr>
      </w:pPr>
      <w:r>
        <w:rPr>
          <w:rFonts w:hint="eastAsia" w:ascii="宋体" w:hAnsi="宋体" w:cs="宋体"/>
          <w:b/>
          <w:bCs/>
          <w:color w:val="000000"/>
          <w:shd w:val="clear" w:color="auto" w:fill="FFFFFF"/>
        </w:rPr>
        <w:t>10.</w:t>
      </w:r>
      <w:r>
        <w:rPr>
          <w:rFonts w:hint="eastAsia" w:ascii="宋体" w:hAnsi="宋体" w:eastAsia="宋体" w:cs="宋体"/>
          <w:b/>
          <w:bCs/>
          <w:color w:val="000000"/>
          <w:shd w:val="clear" w:color="auto" w:fill="FFFFFF"/>
        </w:rPr>
        <w:t>仲裁、诉讼条款</w:t>
      </w:r>
    </w:p>
    <w:p>
      <w:pPr>
        <w:pStyle w:val="2"/>
        <w:wordWrap w:val="0"/>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因采购或与采购合同有关的一切事项发生争议，由采购人和成交</w:t>
      </w:r>
      <w:r>
        <w:rPr>
          <w:rFonts w:hint="eastAsia" w:ascii="宋体" w:hAnsi="宋体" w:eastAsia="宋体" w:cs="宋体"/>
          <w:color w:val="000000"/>
          <w:shd w:val="clear" w:color="auto" w:fill="FFFFFF"/>
          <w:lang w:eastAsia="zh-CN"/>
        </w:rPr>
        <w:t>中选单位</w:t>
      </w:r>
      <w:r>
        <w:rPr>
          <w:rFonts w:hint="eastAsia" w:ascii="宋体" w:hAnsi="宋体" w:eastAsia="宋体" w:cs="宋体"/>
          <w:color w:val="000000"/>
          <w:shd w:val="clear" w:color="auto" w:fill="FFFFFF"/>
        </w:rPr>
        <w:t>双方友好协商解决。协商不成的，任何一方均可向</w:t>
      </w:r>
      <w:r>
        <w:rPr>
          <w:rFonts w:hint="eastAsia" w:ascii="宋体" w:hAnsi="宋体" w:eastAsia="宋体" w:cs="宋体"/>
          <w:color w:val="000000"/>
          <w:shd w:val="clear" w:color="auto" w:fill="FFFFFF"/>
          <w:lang w:eastAsia="zh-CN"/>
        </w:rPr>
        <w:t>厦门仲裁委员会提起仲裁</w:t>
      </w:r>
      <w:bookmarkStart w:id="0" w:name="_GoBack"/>
      <w:bookmarkEnd w:id="0"/>
      <w:r>
        <w:rPr>
          <w:rFonts w:hint="eastAsia" w:ascii="宋体" w:hAnsi="宋体" w:eastAsia="宋体" w:cs="宋体"/>
          <w:color w:val="000000"/>
          <w:shd w:val="clear" w:color="auto" w:fill="FFFFFF"/>
        </w:rPr>
        <w:t>来解决争议。</w:t>
      </w:r>
    </w:p>
    <w:p>
      <w:pPr>
        <w:pStyle w:val="2"/>
        <w:wordWrap w:val="0"/>
        <w:spacing w:beforeAutospacing="0" w:afterAutospacing="0" w:line="360" w:lineRule="auto"/>
        <w:outlineLvl w:val="2"/>
        <w:rPr>
          <w:rFonts w:ascii="宋体" w:hAnsi="宋体" w:eastAsia="宋体" w:cs="宋体"/>
          <w:b/>
          <w:bCs/>
          <w:color w:val="000000"/>
        </w:rPr>
      </w:pPr>
      <w:r>
        <w:rPr>
          <w:rFonts w:hint="eastAsia" w:ascii="宋体" w:hAnsi="宋体" w:eastAsia="宋体" w:cs="宋体"/>
          <w:b/>
          <w:bCs/>
          <w:color w:val="000000"/>
          <w:shd w:val="clear" w:color="auto" w:fill="FFFFFF"/>
        </w:rPr>
        <w:t>1</w:t>
      </w:r>
      <w:r>
        <w:rPr>
          <w:rFonts w:hint="eastAsia" w:ascii="宋体" w:hAnsi="宋体" w:cs="宋体"/>
          <w:b/>
          <w:bCs/>
          <w:color w:val="000000"/>
          <w:shd w:val="clear" w:color="auto" w:fill="FFFFFF"/>
        </w:rPr>
        <w:t>1</w:t>
      </w:r>
      <w:r>
        <w:rPr>
          <w:rFonts w:hint="eastAsia" w:ascii="宋体" w:hAnsi="宋体" w:eastAsia="宋体" w:cs="宋体"/>
          <w:b/>
          <w:bCs/>
          <w:color w:val="000000"/>
          <w:shd w:val="clear" w:color="auto" w:fill="FFFFFF"/>
        </w:rPr>
        <w:t>.保密条款</w:t>
      </w:r>
    </w:p>
    <w:p>
      <w:pPr>
        <w:pStyle w:val="2"/>
        <w:wordWrap w:val="0"/>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lang w:eastAsia="zh-CN"/>
        </w:rPr>
        <w:t>中选单位</w:t>
      </w:r>
      <w:r>
        <w:rPr>
          <w:rFonts w:hint="eastAsia" w:ascii="宋体" w:hAnsi="宋体" w:eastAsia="宋体" w:cs="宋体"/>
          <w:color w:val="000000"/>
          <w:shd w:val="clear" w:color="auto" w:fill="FFFFFF"/>
        </w:rPr>
        <w:t>须严格遵守国家安全保密有关规定，严禁泄露信息。对涉密信息不询问，不议论、不散布，对涉密信息载体应当登记注册、集中管理、统一处理、杜绝失、泄密现象发生。如出现违约，并造成后果的，将依据相关法律，追究其法律责任。</w:t>
      </w:r>
    </w:p>
    <w:p>
      <w:pPr>
        <w:pStyle w:val="3"/>
        <w:adjustRightInd w:val="0"/>
        <w:spacing w:line="360" w:lineRule="auto"/>
        <w:ind w:firstLine="0" w:firstLineChars="0"/>
        <w:rPr>
          <w:rFonts w:ascii="宋体" w:hAnsi="宋体" w:cs="宋体"/>
          <w:sz w:val="24"/>
        </w:rPr>
      </w:pPr>
    </w:p>
    <w:p>
      <w:pPr>
        <w:adjustRightInd w:val="0"/>
        <w:spacing w:line="360" w:lineRule="auto"/>
        <w:rPr>
          <w:rFonts w:ascii="宋体" w:hAnsi="宋体" w:eastAsia="宋体" w:cs="宋体"/>
          <w:b/>
          <w:bCs/>
          <w:i/>
          <w:iCs/>
          <w:color w:val="000000"/>
          <w:kern w:val="0"/>
          <w:sz w:val="24"/>
          <w:u w:val="double"/>
          <w:shd w:val="clear" w:color="auto" w:fill="FFFFFF"/>
        </w:rPr>
      </w:pPr>
      <w:r>
        <w:rPr>
          <w:rFonts w:hint="eastAsia" w:ascii="宋体" w:hAnsi="宋体" w:eastAsia="宋体" w:cs="宋体"/>
          <w:b/>
          <w:bCs/>
          <w:i/>
          <w:iCs/>
          <w:color w:val="000000"/>
          <w:kern w:val="0"/>
          <w:sz w:val="24"/>
          <w:u w:val="double"/>
          <w:shd w:val="clear" w:color="auto" w:fill="FFFFFF"/>
        </w:rPr>
        <w:t>注：以上均为不可或缺的实质性要求与条件，资质审查阶段将对参选单位是否符合上述内容进行确认（具体需提供材料见附件二），如有不满足将直接淘汰，不予进入比价环节。</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NTdjYmM1ZmE1MDFhNWUwNzVkOTg2NGEwYzU0MWQifQ=="/>
  </w:docVars>
  <w:rsids>
    <w:rsidRoot w:val="008303D3"/>
    <w:rsid w:val="001C7743"/>
    <w:rsid w:val="008303D3"/>
    <w:rsid w:val="00885DD8"/>
    <w:rsid w:val="00B0496C"/>
    <w:rsid w:val="00C11D31"/>
    <w:rsid w:val="00C6754A"/>
    <w:rsid w:val="00C74BA5"/>
    <w:rsid w:val="00C8722F"/>
    <w:rsid w:val="00CE68AC"/>
    <w:rsid w:val="00DC3B22"/>
    <w:rsid w:val="01D94209"/>
    <w:rsid w:val="02B12A4B"/>
    <w:rsid w:val="02CA382C"/>
    <w:rsid w:val="0526590B"/>
    <w:rsid w:val="05AE749A"/>
    <w:rsid w:val="07117EF5"/>
    <w:rsid w:val="085B58CB"/>
    <w:rsid w:val="0D7E2680"/>
    <w:rsid w:val="0E804516"/>
    <w:rsid w:val="10DE709A"/>
    <w:rsid w:val="117A1CB3"/>
    <w:rsid w:val="11D87F8D"/>
    <w:rsid w:val="120B3EBE"/>
    <w:rsid w:val="12665599"/>
    <w:rsid w:val="13533D6F"/>
    <w:rsid w:val="15A00DC2"/>
    <w:rsid w:val="18CF3355"/>
    <w:rsid w:val="1AE654C9"/>
    <w:rsid w:val="1C7B7E93"/>
    <w:rsid w:val="1CE43C8A"/>
    <w:rsid w:val="1E2626DC"/>
    <w:rsid w:val="1F9B42EE"/>
    <w:rsid w:val="205B4263"/>
    <w:rsid w:val="210B3EDB"/>
    <w:rsid w:val="22963C78"/>
    <w:rsid w:val="24162D28"/>
    <w:rsid w:val="28F33BD2"/>
    <w:rsid w:val="2C7F577D"/>
    <w:rsid w:val="2C862667"/>
    <w:rsid w:val="2CBE62A5"/>
    <w:rsid w:val="2F101F2F"/>
    <w:rsid w:val="2F2A7C22"/>
    <w:rsid w:val="3016654E"/>
    <w:rsid w:val="30612C01"/>
    <w:rsid w:val="31605B7D"/>
    <w:rsid w:val="3200233A"/>
    <w:rsid w:val="32A001FB"/>
    <w:rsid w:val="344E2C19"/>
    <w:rsid w:val="355A28E3"/>
    <w:rsid w:val="37E62B54"/>
    <w:rsid w:val="38887767"/>
    <w:rsid w:val="39A607ED"/>
    <w:rsid w:val="3AA82343"/>
    <w:rsid w:val="3AFB6916"/>
    <w:rsid w:val="3B027CA5"/>
    <w:rsid w:val="3B781D15"/>
    <w:rsid w:val="3C4D3370"/>
    <w:rsid w:val="3D6C09B9"/>
    <w:rsid w:val="3D8449A1"/>
    <w:rsid w:val="3E5668B2"/>
    <w:rsid w:val="3F964E60"/>
    <w:rsid w:val="41E129E1"/>
    <w:rsid w:val="43B546B1"/>
    <w:rsid w:val="442436F9"/>
    <w:rsid w:val="45F4643C"/>
    <w:rsid w:val="486A6E89"/>
    <w:rsid w:val="48B16866"/>
    <w:rsid w:val="4ACE54AE"/>
    <w:rsid w:val="4D9E3F3B"/>
    <w:rsid w:val="4FAB04B3"/>
    <w:rsid w:val="50A373DC"/>
    <w:rsid w:val="55AD25BB"/>
    <w:rsid w:val="59EE791A"/>
    <w:rsid w:val="5AB26B9A"/>
    <w:rsid w:val="5B202F64"/>
    <w:rsid w:val="5D403D5C"/>
    <w:rsid w:val="5F375A87"/>
    <w:rsid w:val="5FDF3861"/>
    <w:rsid w:val="60DF1D6B"/>
    <w:rsid w:val="65D15AA6"/>
    <w:rsid w:val="66540A02"/>
    <w:rsid w:val="672F2593"/>
    <w:rsid w:val="69182115"/>
    <w:rsid w:val="692B2290"/>
    <w:rsid w:val="6B166CD1"/>
    <w:rsid w:val="6BC8789F"/>
    <w:rsid w:val="6E227207"/>
    <w:rsid w:val="6EC21A58"/>
    <w:rsid w:val="6EFD5A21"/>
    <w:rsid w:val="6F245233"/>
    <w:rsid w:val="70084CA7"/>
    <w:rsid w:val="702F613F"/>
    <w:rsid w:val="70551791"/>
    <w:rsid w:val="715B3690"/>
    <w:rsid w:val="719E770A"/>
    <w:rsid w:val="71D451F0"/>
    <w:rsid w:val="74365CEE"/>
    <w:rsid w:val="78F41CD4"/>
    <w:rsid w:val="79344461"/>
    <w:rsid w:val="79827C8F"/>
    <w:rsid w:val="7A077F60"/>
    <w:rsid w:val="7C725D31"/>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3">
    <w:name w:val="Body Text First Indent 2"/>
    <w:basedOn w:val="1"/>
    <w:next w:val="1"/>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2778</Words>
  <Characters>2867</Characters>
  <Lines>127</Lines>
  <Paragraphs>35</Paragraphs>
  <TotalTime>2</TotalTime>
  <ScaleCrop>false</ScaleCrop>
  <LinksUpToDate>false</LinksUpToDate>
  <CharactersWithSpaces>2867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2023-04-13T07:14:00Z</dcterms:created>
  <dc:creator>Administrator</dc:creator>
  <cp:lastModifiedBy>DELL</cp:lastModifiedBy>
  <dcterms:modified xsi:type="dcterms:W3CDTF">2023-12-07T07:11:38Z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8D4281616C714445A7EAA9E72C16449E_13</vt:lpwstr>
  </property>
</Properties>
</file>