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spacing w:before="0" w:after="0" w:line="360" w:lineRule="auto"/>
        <w:outlineLvl w:val="0"/>
        <w:rPr>
          <w:rFonts w:ascii="方正小标宋简体" w:eastAsia="方正小标宋简体" w:cs="宋体"/>
          <w:b w:val="0"/>
          <w:sz w:val="44"/>
          <w:szCs w:val="44"/>
        </w:rPr>
      </w:pPr>
      <w:bookmarkStart w:id="0" w:name="_GoBack"/>
      <w:bookmarkEnd w:id="0"/>
      <w:r>
        <w:rPr>
          <w:rFonts w:hint="eastAsia" w:ascii="方正小标宋简体" w:eastAsia="方正小标宋简体" w:cs="宋体"/>
          <w:b w:val="0"/>
          <w:sz w:val="44"/>
          <w:szCs w:val="44"/>
        </w:rPr>
        <w:t>采购内容及需求</w:t>
      </w:r>
    </w:p>
    <w:p/>
    <w:p>
      <w:pPr>
        <w:ind w:firstLine="560" w:firstLineChars="200"/>
        <w:rPr>
          <w:rFonts w:hint="eastAsia" w:ascii="黑体" w:hAnsi="黑体" w:eastAsia="黑体"/>
          <w:sz w:val="28"/>
          <w:szCs w:val="28"/>
        </w:rPr>
      </w:pPr>
      <w:r>
        <w:rPr>
          <w:rFonts w:hint="eastAsia" w:ascii="黑体" w:hAnsi="黑体" w:eastAsia="黑体"/>
          <w:sz w:val="28"/>
          <w:szCs w:val="28"/>
        </w:rPr>
        <w:t>一、采购内容一览表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992"/>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b/>
                <w:sz w:val="28"/>
                <w:szCs w:val="28"/>
              </w:rPr>
            </w:pPr>
            <w:r>
              <w:rPr>
                <w:rFonts w:hint="eastAsia" w:asciiTheme="minorEastAsia" w:hAnsiTheme="minorEastAsia"/>
                <w:b/>
                <w:sz w:val="28"/>
                <w:szCs w:val="28"/>
              </w:rPr>
              <w:t>序号</w:t>
            </w:r>
          </w:p>
        </w:tc>
        <w:tc>
          <w:tcPr>
            <w:tcW w:w="4111" w:type="dxa"/>
            <w:vAlign w:val="center"/>
          </w:tcPr>
          <w:p>
            <w:pPr>
              <w:jc w:val="center"/>
              <w:rPr>
                <w:rFonts w:hint="eastAsia" w:asciiTheme="minorEastAsia" w:hAnsiTheme="minorEastAsia"/>
                <w:b/>
                <w:sz w:val="28"/>
                <w:szCs w:val="28"/>
              </w:rPr>
            </w:pPr>
            <w:r>
              <w:rPr>
                <w:rFonts w:hint="eastAsia" w:asciiTheme="minorEastAsia" w:hAnsiTheme="minorEastAsia"/>
                <w:b/>
                <w:sz w:val="28"/>
                <w:szCs w:val="28"/>
              </w:rPr>
              <w:t>标项内容</w:t>
            </w:r>
          </w:p>
        </w:tc>
        <w:tc>
          <w:tcPr>
            <w:tcW w:w="992" w:type="dxa"/>
            <w:vAlign w:val="center"/>
          </w:tcPr>
          <w:p>
            <w:pPr>
              <w:jc w:val="center"/>
              <w:rPr>
                <w:rFonts w:hint="eastAsia" w:asciiTheme="minorEastAsia" w:hAnsiTheme="minorEastAsia"/>
                <w:b/>
                <w:sz w:val="28"/>
                <w:szCs w:val="28"/>
              </w:rPr>
            </w:pPr>
            <w:r>
              <w:rPr>
                <w:rFonts w:hint="eastAsia" w:asciiTheme="minorEastAsia" w:hAnsiTheme="minorEastAsia"/>
                <w:b/>
                <w:sz w:val="28"/>
                <w:szCs w:val="28"/>
              </w:rPr>
              <w:t>数量</w:t>
            </w:r>
          </w:p>
        </w:tc>
        <w:tc>
          <w:tcPr>
            <w:tcW w:w="1134" w:type="dxa"/>
            <w:vAlign w:val="center"/>
          </w:tcPr>
          <w:p>
            <w:pPr>
              <w:jc w:val="center"/>
              <w:rPr>
                <w:rFonts w:hint="eastAsia" w:asciiTheme="minorEastAsia" w:hAnsiTheme="minorEastAsia"/>
                <w:b/>
                <w:sz w:val="28"/>
                <w:szCs w:val="28"/>
              </w:rPr>
            </w:pPr>
            <w:r>
              <w:rPr>
                <w:rFonts w:hint="eastAsia" w:asciiTheme="minorEastAsia" w:hAnsiTheme="minorEastAsia"/>
                <w:b/>
                <w:sz w:val="28"/>
                <w:szCs w:val="28"/>
              </w:rPr>
              <w:t>单位</w:t>
            </w:r>
          </w:p>
        </w:tc>
        <w:tc>
          <w:tcPr>
            <w:tcW w:w="1468" w:type="dxa"/>
            <w:vAlign w:val="center"/>
          </w:tcPr>
          <w:p>
            <w:pPr>
              <w:jc w:val="center"/>
              <w:rPr>
                <w:rFonts w:hint="eastAsia" w:asciiTheme="minorEastAsia" w:hAnsiTheme="minorEastAsia"/>
                <w:b/>
                <w:sz w:val="28"/>
                <w:szCs w:val="28"/>
              </w:rPr>
            </w:pPr>
            <w:r>
              <w:rPr>
                <w:rFonts w:hint="eastAsia" w:asciiTheme="minorEastAsia" w:hAnsiTheme="minorEastAsia"/>
                <w:b/>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1</w:t>
            </w:r>
          </w:p>
        </w:tc>
        <w:tc>
          <w:tcPr>
            <w:tcW w:w="4111"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福建省边海电磁频谱管控应用能力研究</w:t>
            </w:r>
          </w:p>
        </w:tc>
        <w:tc>
          <w:tcPr>
            <w:tcW w:w="992"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1</w:t>
            </w:r>
          </w:p>
        </w:tc>
        <w:tc>
          <w:tcPr>
            <w:tcW w:w="1134"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项</w:t>
            </w:r>
          </w:p>
        </w:tc>
        <w:tc>
          <w:tcPr>
            <w:tcW w:w="1468"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15万元</w:t>
            </w:r>
          </w:p>
        </w:tc>
      </w:tr>
    </w:tbl>
    <w:p>
      <w:pPr>
        <w:rPr>
          <w:rFonts w:hint="eastAsia" w:ascii="黑体" w:hAnsi="黑体" w:eastAsia="黑体"/>
          <w:sz w:val="28"/>
          <w:szCs w:val="28"/>
        </w:rPr>
      </w:pPr>
    </w:p>
    <w:p>
      <w:pPr>
        <w:ind w:firstLine="560" w:firstLineChars="200"/>
        <w:rPr>
          <w:rFonts w:ascii="黑体" w:hAnsi="黑体" w:eastAsia="黑体"/>
          <w:sz w:val="28"/>
          <w:szCs w:val="28"/>
        </w:rPr>
      </w:pPr>
      <w:r>
        <w:rPr>
          <w:rFonts w:hint="eastAsia" w:ascii="黑体" w:hAnsi="黑体" w:eastAsia="黑体"/>
          <w:sz w:val="28"/>
          <w:szCs w:val="28"/>
        </w:rPr>
        <w:t>二、采购需求</w:t>
      </w:r>
    </w:p>
    <w:p>
      <w:pPr>
        <w:ind w:firstLine="562" w:firstLineChars="200"/>
        <w:rPr>
          <w:rFonts w:hint="eastAsia" w:asciiTheme="minorEastAsia" w:hAnsiTheme="minorEastAsia"/>
          <w:sz w:val="28"/>
          <w:szCs w:val="28"/>
        </w:rPr>
      </w:pPr>
      <w:r>
        <w:rPr>
          <w:rFonts w:hint="eastAsia" w:asciiTheme="minorEastAsia" w:hAnsiTheme="minorEastAsia"/>
          <w:b/>
          <w:sz w:val="28"/>
          <w:szCs w:val="28"/>
        </w:rPr>
        <w:t>（一）项目内容：</w:t>
      </w:r>
      <w:r>
        <w:rPr>
          <w:rFonts w:hint="eastAsia" w:asciiTheme="minorEastAsia" w:hAnsiTheme="minorEastAsia"/>
          <w:sz w:val="28"/>
          <w:szCs w:val="28"/>
        </w:rPr>
        <w:t>福建省边海电磁频谱管控应用能力研究</w:t>
      </w:r>
    </w:p>
    <w:p>
      <w:pPr>
        <w:ind w:firstLine="560" w:firstLineChars="200"/>
        <w:rPr>
          <w:rFonts w:asciiTheme="minorEastAsia" w:hAnsiTheme="minorEastAsia"/>
          <w:sz w:val="28"/>
          <w:szCs w:val="28"/>
        </w:rPr>
      </w:pPr>
      <w:r>
        <w:rPr>
          <w:rFonts w:hint="eastAsia" w:asciiTheme="minorEastAsia" w:hAnsiTheme="minorEastAsia"/>
          <w:sz w:val="28"/>
          <w:szCs w:val="28"/>
        </w:rPr>
        <w:t>福建省无线电管理技术设施建设“十四五”规划指出，我省边海区域无线电技术设施建设有待完善，设施能力需进一步提升。面对当前日益复杂局势，在充分利用我省现有设备设施的基础上，以无线电管理需求和无线电相关产业发展需求为导向，结合制造强国、网络强国、数字中国、数字福建总体布局，充分运用和发挥新一代信息技术优势，加快推进无线电管理技术设施高质量建设，实现进一步提升无线电管理现代化治理效能，服务经济社会发展和国防建设。</w:t>
      </w:r>
    </w:p>
    <w:p>
      <w:pPr>
        <w:ind w:firstLine="560" w:firstLineChars="200"/>
        <w:rPr>
          <w:rFonts w:asciiTheme="minorEastAsia" w:hAnsiTheme="minorEastAsia"/>
          <w:sz w:val="28"/>
          <w:szCs w:val="28"/>
        </w:rPr>
      </w:pPr>
      <w:r>
        <w:rPr>
          <w:rFonts w:hint="eastAsia" w:asciiTheme="minorEastAsia" w:hAnsiTheme="minorEastAsia"/>
          <w:sz w:val="28"/>
          <w:szCs w:val="28"/>
        </w:rPr>
        <w:t>为进一步</w:t>
      </w:r>
      <w:r>
        <w:rPr>
          <w:rFonts w:hint="eastAsia" w:asciiTheme="minorEastAsia" w:hAnsiTheme="minorEastAsia"/>
          <w:sz w:val="28"/>
          <w:szCs w:val="28"/>
          <w:lang w:eastAsia="zh-CN"/>
        </w:rPr>
        <w:t>突出福建省沿海沿边区位特点，</w:t>
      </w:r>
      <w:r>
        <w:rPr>
          <w:rFonts w:hint="eastAsia" w:asciiTheme="minorEastAsia" w:hAnsiTheme="minorEastAsia"/>
          <w:sz w:val="28"/>
          <w:szCs w:val="28"/>
        </w:rPr>
        <w:t>提升福建省边海电磁</w:t>
      </w:r>
      <w:r>
        <w:rPr>
          <w:rFonts w:hint="eastAsia" w:asciiTheme="minorEastAsia" w:hAnsiTheme="minorEastAsia"/>
          <w:sz w:val="28"/>
          <w:szCs w:val="28"/>
          <w:lang w:eastAsia="zh-CN"/>
        </w:rPr>
        <w:t>环境感知能力，加强辖区</w:t>
      </w:r>
      <w:r>
        <w:rPr>
          <w:rFonts w:hint="eastAsia" w:asciiTheme="minorEastAsia" w:hAnsiTheme="minorEastAsia"/>
          <w:sz w:val="28"/>
          <w:szCs w:val="28"/>
        </w:rPr>
        <w:t>频谱管控能力，提高对现有边海无线电监测设备设施应用水平，发挥好已建成无线电监测设备性能，组织开展本课题项目研究工作。通过开展专题研究，摸清我省边海无线电监测系统能力水平，</w:t>
      </w:r>
      <w:r>
        <w:rPr>
          <w:rFonts w:hint="eastAsia" w:asciiTheme="minorEastAsia" w:hAnsiTheme="minorEastAsia"/>
          <w:sz w:val="28"/>
          <w:szCs w:val="28"/>
          <w:lang w:eastAsia="zh-CN"/>
        </w:rPr>
        <w:t>为更好服务“三管理、三服务、一突出”中心工作，提出未来提升</w:t>
      </w:r>
      <w:r>
        <w:rPr>
          <w:rFonts w:hint="eastAsia" w:asciiTheme="minorEastAsia" w:hAnsiTheme="minorEastAsia"/>
          <w:sz w:val="28"/>
          <w:szCs w:val="28"/>
        </w:rPr>
        <w:t>福建省边海电磁</w:t>
      </w:r>
      <w:r>
        <w:rPr>
          <w:rFonts w:hint="eastAsia" w:asciiTheme="minorEastAsia" w:hAnsiTheme="minorEastAsia"/>
          <w:sz w:val="28"/>
          <w:szCs w:val="28"/>
          <w:lang w:eastAsia="zh-CN"/>
        </w:rPr>
        <w:t>环境感知能力，加强辖区</w:t>
      </w:r>
      <w:r>
        <w:rPr>
          <w:rFonts w:hint="eastAsia" w:asciiTheme="minorEastAsia" w:hAnsiTheme="minorEastAsia"/>
          <w:sz w:val="28"/>
          <w:szCs w:val="28"/>
        </w:rPr>
        <w:t>频谱管控能力</w:t>
      </w:r>
      <w:r>
        <w:rPr>
          <w:rFonts w:hint="eastAsia" w:asciiTheme="minorEastAsia" w:hAnsiTheme="minorEastAsia"/>
          <w:sz w:val="28"/>
          <w:szCs w:val="28"/>
          <w:lang w:eastAsia="zh-CN"/>
        </w:rPr>
        <w:t>的</w:t>
      </w:r>
      <w:r>
        <w:rPr>
          <w:rFonts w:hint="eastAsia" w:asciiTheme="minorEastAsia" w:hAnsiTheme="minorEastAsia"/>
          <w:sz w:val="28"/>
          <w:szCs w:val="28"/>
        </w:rPr>
        <w:t>意见建议，为后续无线电基础设施建设</w:t>
      </w:r>
      <w:r>
        <w:rPr>
          <w:rFonts w:hint="eastAsia" w:asciiTheme="minorEastAsia" w:hAnsiTheme="minorEastAsia"/>
          <w:sz w:val="28"/>
          <w:szCs w:val="28"/>
          <w:lang w:eastAsia="zh-CN"/>
        </w:rPr>
        <w:t>和无线电管理一体化功能建设</w:t>
      </w:r>
      <w:r>
        <w:rPr>
          <w:rFonts w:hint="eastAsia" w:asciiTheme="minorEastAsia" w:hAnsiTheme="minorEastAsia"/>
          <w:sz w:val="28"/>
          <w:szCs w:val="28"/>
        </w:rPr>
        <w:t>提出可行性建议。</w:t>
      </w:r>
    </w:p>
    <w:p>
      <w:pPr>
        <w:ind w:firstLine="562" w:firstLineChars="200"/>
        <w:rPr>
          <w:rFonts w:hint="eastAsia" w:asciiTheme="minorEastAsia" w:hAnsiTheme="minorEastAsia"/>
          <w:b/>
          <w:sz w:val="28"/>
          <w:szCs w:val="28"/>
        </w:rPr>
      </w:pPr>
      <w:r>
        <w:rPr>
          <w:rFonts w:asciiTheme="minorEastAsia" w:hAnsiTheme="minorEastAsia"/>
          <w:b/>
          <w:sz w:val="28"/>
          <w:szCs w:val="28"/>
        </w:rPr>
        <w:t>（</w:t>
      </w:r>
      <w:r>
        <w:rPr>
          <w:rFonts w:hint="eastAsia" w:asciiTheme="minorEastAsia" w:hAnsiTheme="minorEastAsia"/>
          <w:b/>
          <w:sz w:val="28"/>
          <w:szCs w:val="28"/>
        </w:rPr>
        <w:t>二）具体要求：</w:t>
      </w:r>
    </w:p>
    <w:p>
      <w:pPr>
        <w:ind w:firstLine="560" w:firstLineChars="200"/>
        <w:rPr>
          <w:rFonts w:hint="eastAsia" w:asciiTheme="minorEastAsia" w:hAnsiTheme="minorEastAsia"/>
          <w:sz w:val="28"/>
          <w:szCs w:val="28"/>
        </w:rPr>
      </w:pPr>
      <w:r>
        <w:rPr>
          <w:rFonts w:hint="eastAsia" w:asciiTheme="minorEastAsia" w:hAnsiTheme="minorEastAsia"/>
          <w:sz w:val="28"/>
          <w:szCs w:val="28"/>
        </w:rPr>
        <w:t>1、研究内容方面</w:t>
      </w:r>
    </w:p>
    <w:p>
      <w:pPr>
        <w:rPr>
          <w:rFonts w:hint="eastAsia" w:asciiTheme="minorEastAsia" w:hAnsiTheme="minorEastAsia"/>
          <w:sz w:val="28"/>
          <w:szCs w:val="28"/>
        </w:rPr>
      </w:pPr>
      <w:r>
        <w:rPr>
          <w:rFonts w:hint="eastAsia" w:asciiTheme="minorEastAsia" w:hAnsiTheme="minorEastAsia"/>
          <w:sz w:val="28"/>
          <w:szCs w:val="28"/>
        </w:rPr>
        <w:t xml:space="preserve">    针对福建省现有已建成边海监测站点的系统功能的应用开展深入研究，对监测数据进行融合分析，课题成果能够支撑后续</w:t>
      </w:r>
      <w:r>
        <w:rPr>
          <w:rFonts w:hint="eastAsia" w:asciiTheme="minorEastAsia" w:hAnsiTheme="minorEastAsia"/>
          <w:sz w:val="28"/>
          <w:szCs w:val="28"/>
          <w:lang w:eastAsia="zh-CN"/>
        </w:rPr>
        <w:t>通过</w:t>
      </w:r>
      <w:r>
        <w:rPr>
          <w:rFonts w:hint="eastAsia" w:asciiTheme="minorEastAsia" w:hAnsiTheme="minorEastAsia"/>
          <w:sz w:val="28"/>
          <w:szCs w:val="28"/>
        </w:rPr>
        <w:t>无线电监测</w:t>
      </w:r>
      <w:r>
        <w:rPr>
          <w:rFonts w:hint="eastAsia" w:asciiTheme="minorEastAsia" w:hAnsiTheme="minorEastAsia"/>
          <w:sz w:val="28"/>
          <w:szCs w:val="28"/>
          <w:lang w:eastAsia="zh-CN"/>
        </w:rPr>
        <w:t>能力现代化建设提升福建省边海电磁环境感知能力和辖区频谱管控能力</w:t>
      </w:r>
      <w:r>
        <w:rPr>
          <w:rFonts w:hint="eastAsia" w:asciiTheme="minorEastAsia" w:hAnsiTheme="minorEastAsia"/>
          <w:sz w:val="28"/>
          <w:szCs w:val="28"/>
        </w:rPr>
        <w:t>的深入开展。</w:t>
      </w:r>
    </w:p>
    <w:p>
      <w:pPr>
        <w:ind w:firstLine="560" w:firstLineChars="200"/>
        <w:rPr>
          <w:rFonts w:hint="eastAsia" w:asciiTheme="minorEastAsia" w:hAnsiTheme="minorEastAsia"/>
          <w:sz w:val="28"/>
          <w:szCs w:val="28"/>
        </w:rPr>
      </w:pPr>
      <w:r>
        <w:rPr>
          <w:rFonts w:hint="eastAsia" w:asciiTheme="minorEastAsia" w:hAnsiTheme="minorEastAsia"/>
          <w:sz w:val="28"/>
          <w:szCs w:val="28"/>
        </w:rPr>
        <w:t>2、坚持调查研究与对策研究相结合，注重针对性和实用性，力求创新性和前瞻性，在深入研究分析的基础上提出相关无线电管理应对策略和创新性、方向性的决策咨询意见，形成专题研究报告。专题研究报告要数据详实、分析充分、结论清晰，指导性强。</w:t>
      </w:r>
    </w:p>
    <w:p>
      <w:pPr>
        <w:ind w:firstLine="560" w:firstLineChars="200"/>
        <w:rPr>
          <w:rFonts w:hint="eastAsia" w:asciiTheme="minorEastAsia" w:hAnsiTheme="minorEastAsia"/>
          <w:sz w:val="28"/>
          <w:szCs w:val="28"/>
        </w:rPr>
      </w:pPr>
      <w:r>
        <w:rPr>
          <w:rFonts w:hint="eastAsia" w:asciiTheme="minorEastAsia" w:hAnsiTheme="minorEastAsia"/>
          <w:sz w:val="28"/>
          <w:szCs w:val="28"/>
        </w:rPr>
        <w:t>3、围绕福建省无线电管理中的边海电磁频谱管控能力提升中重点、难点问题，通过市场调研和行业调研，研讨会等形式构建桥梁纽带，探索创新工作机制。</w:t>
      </w:r>
    </w:p>
    <w:p>
      <w:pPr>
        <w:ind w:firstLine="560" w:firstLineChars="200"/>
        <w:rPr>
          <w:rFonts w:hint="eastAsia" w:asciiTheme="minorEastAsia" w:hAnsiTheme="minorEastAsia"/>
          <w:sz w:val="28"/>
          <w:szCs w:val="28"/>
        </w:rPr>
      </w:pPr>
      <w:r>
        <w:rPr>
          <w:rFonts w:hint="eastAsia" w:asciiTheme="minorEastAsia" w:hAnsiTheme="minorEastAsia"/>
          <w:sz w:val="28"/>
          <w:szCs w:val="28"/>
        </w:rPr>
        <w:t>4、研究成果</w:t>
      </w:r>
      <w:r>
        <w:rPr>
          <w:rFonts w:hint="eastAsia" w:asciiTheme="minorEastAsia" w:hAnsiTheme="minorEastAsia"/>
          <w:sz w:val="28"/>
          <w:szCs w:val="28"/>
          <w:lang w:eastAsia="zh-CN"/>
        </w:rPr>
        <w:t>归</w:t>
      </w:r>
      <w:r>
        <w:rPr>
          <w:rFonts w:hint="eastAsia" w:asciiTheme="minorEastAsia" w:hAnsiTheme="minorEastAsia"/>
          <w:sz w:val="28"/>
          <w:szCs w:val="28"/>
        </w:rPr>
        <w:t>福建省无线电监测站所有。文字责任由课题承担单位负责。如需公开发表或发布成果，须经福建省无线电监测站审核同意。</w:t>
      </w:r>
    </w:p>
    <w:p>
      <w:pPr>
        <w:ind w:firstLine="560" w:firstLineChars="200"/>
        <w:rPr>
          <w:rFonts w:hint="eastAsia" w:asciiTheme="minorEastAsia" w:hAnsiTheme="minorEastAsia"/>
          <w:sz w:val="28"/>
          <w:szCs w:val="28"/>
        </w:rPr>
      </w:pPr>
      <w:r>
        <w:rPr>
          <w:rFonts w:hint="eastAsia" w:asciiTheme="minorEastAsia" w:hAnsiTheme="minorEastAsia"/>
          <w:sz w:val="28"/>
          <w:szCs w:val="28"/>
        </w:rPr>
        <w:t>5、项目实施周期内，规范项目经费支出使用，专账管理、独立核算、专款专用，优质高效完成项目任务，自觉接受验收评价。</w:t>
      </w:r>
    </w:p>
    <w:p>
      <w:pPr>
        <w:ind w:firstLine="562" w:firstLineChars="200"/>
        <w:rPr>
          <w:rFonts w:hint="eastAsia" w:asciiTheme="minorEastAsia" w:hAnsiTheme="minorEastAsia"/>
          <w:b/>
          <w:sz w:val="28"/>
          <w:szCs w:val="28"/>
        </w:rPr>
      </w:pPr>
      <w:r>
        <w:rPr>
          <w:rFonts w:hint="eastAsia" w:asciiTheme="minorEastAsia" w:hAnsiTheme="minorEastAsia"/>
          <w:b/>
          <w:sz w:val="28"/>
          <w:szCs w:val="28"/>
        </w:rPr>
        <w:t>（三）绩效目标</w:t>
      </w:r>
    </w:p>
    <w:p>
      <w:pPr>
        <w:ind w:firstLine="560" w:firstLineChars="200"/>
        <w:rPr>
          <w:rFonts w:hint="eastAsia" w:asciiTheme="minorEastAsia" w:hAnsiTheme="minorEastAsia"/>
          <w:b/>
          <w:sz w:val="28"/>
          <w:szCs w:val="28"/>
        </w:rPr>
      </w:pPr>
      <w:r>
        <w:rPr>
          <w:rFonts w:hint="eastAsia" w:asciiTheme="minorEastAsia" w:hAnsiTheme="minorEastAsia"/>
          <w:sz w:val="28"/>
          <w:szCs w:val="28"/>
        </w:rPr>
        <w:t>在高质量完成专题研究报告的基础上，提出加强现有边海无线电监测设备设施使用建议，进一步发挥现有设备系统的能力</w:t>
      </w:r>
      <w:r>
        <w:rPr>
          <w:rFonts w:hint="eastAsia" w:asciiTheme="minorEastAsia" w:hAnsiTheme="minorEastAsia"/>
          <w:sz w:val="28"/>
          <w:szCs w:val="28"/>
          <w:lang w:eastAsia="zh-CN"/>
        </w:rPr>
        <w:t>和监测数据分析能力</w:t>
      </w:r>
      <w:r>
        <w:rPr>
          <w:rFonts w:hint="eastAsia" w:asciiTheme="minorEastAsia" w:hAnsiTheme="minorEastAsia"/>
          <w:sz w:val="28"/>
          <w:szCs w:val="28"/>
        </w:rPr>
        <w:t>，为服务地方经济发展，服务国防建设更好的发挥作用。同时，根据福建省无线电管理规划，提出对现有设备设施</w:t>
      </w:r>
      <w:r>
        <w:rPr>
          <w:rFonts w:hint="eastAsia" w:asciiTheme="minorEastAsia" w:hAnsiTheme="minorEastAsia"/>
          <w:sz w:val="28"/>
          <w:szCs w:val="28"/>
          <w:lang w:eastAsia="zh-CN"/>
        </w:rPr>
        <w:t>、一体化应用</w:t>
      </w:r>
      <w:r>
        <w:rPr>
          <w:rFonts w:hint="eastAsia" w:asciiTheme="minorEastAsia" w:hAnsiTheme="minorEastAsia"/>
          <w:sz w:val="28"/>
          <w:szCs w:val="28"/>
        </w:rPr>
        <w:t>功能提升和完善的策略意见。</w:t>
      </w:r>
    </w:p>
    <w:p>
      <w:pPr>
        <w:ind w:firstLine="562" w:firstLineChars="200"/>
        <w:rPr>
          <w:rFonts w:hint="eastAsia" w:asciiTheme="minorEastAsia" w:hAnsiTheme="minorEastAsia"/>
          <w:b/>
          <w:sz w:val="28"/>
          <w:szCs w:val="28"/>
        </w:rPr>
      </w:pPr>
      <w:r>
        <w:rPr>
          <w:rFonts w:hint="eastAsia" w:asciiTheme="minorEastAsia" w:hAnsiTheme="minorEastAsia"/>
          <w:b/>
          <w:sz w:val="28"/>
          <w:szCs w:val="28"/>
        </w:rPr>
        <w:t>（四）实施周期</w:t>
      </w:r>
    </w:p>
    <w:p>
      <w:pPr>
        <w:ind w:firstLine="560" w:firstLineChars="200"/>
        <w:rPr>
          <w:rFonts w:hint="eastAsia" w:asciiTheme="minorEastAsia" w:hAnsiTheme="minorEastAsia"/>
          <w:sz w:val="28"/>
          <w:szCs w:val="28"/>
        </w:rPr>
      </w:pPr>
      <w:r>
        <w:rPr>
          <w:rFonts w:hint="eastAsia" w:asciiTheme="minorEastAsia" w:hAnsiTheme="minorEastAsia"/>
          <w:sz w:val="28"/>
          <w:szCs w:val="28"/>
        </w:rPr>
        <w:t>合同签订后，在2024年1</w:t>
      </w:r>
      <w:r>
        <w:rPr>
          <w:rFonts w:hint="eastAsia" w:asciiTheme="minorEastAsia" w:hAnsiTheme="minorEastAsia"/>
          <w:sz w:val="28"/>
          <w:szCs w:val="28"/>
          <w:lang w:val="en-US" w:eastAsia="zh-CN"/>
        </w:rPr>
        <w:t>0</w:t>
      </w:r>
      <w:r>
        <w:rPr>
          <w:rFonts w:hint="eastAsia" w:asciiTheme="minorEastAsia" w:hAnsiTheme="minorEastAsia"/>
          <w:sz w:val="28"/>
          <w:szCs w:val="28"/>
        </w:rPr>
        <w:t>月31日前完成以上项目内容并达到绩效目标。</w:t>
      </w:r>
    </w:p>
    <w:p>
      <w:pPr>
        <w:ind w:firstLine="562" w:firstLineChars="200"/>
        <w:rPr>
          <w:rFonts w:hint="eastAsia" w:asciiTheme="minorEastAsia" w:hAnsiTheme="minorEastAsia"/>
          <w:b/>
          <w:sz w:val="28"/>
          <w:szCs w:val="28"/>
        </w:rPr>
      </w:pPr>
      <w:r>
        <w:rPr>
          <w:rFonts w:hint="eastAsia" w:asciiTheme="minorEastAsia" w:hAnsiTheme="minorEastAsia"/>
          <w:b/>
          <w:sz w:val="28"/>
          <w:szCs w:val="28"/>
        </w:rPr>
        <w:t>（五）验收要求</w:t>
      </w:r>
    </w:p>
    <w:p>
      <w:pPr>
        <w:ind w:firstLine="560" w:firstLineChars="200"/>
        <w:rPr>
          <w:rFonts w:hint="eastAsia" w:asciiTheme="minorEastAsia" w:hAnsiTheme="minorEastAsia"/>
          <w:sz w:val="28"/>
          <w:szCs w:val="28"/>
        </w:rPr>
      </w:pPr>
      <w:r>
        <w:rPr>
          <w:rFonts w:hint="eastAsia" w:asciiTheme="minorEastAsia" w:hAnsiTheme="minorEastAsia"/>
          <w:sz w:val="28"/>
          <w:szCs w:val="28"/>
        </w:rPr>
        <w:t>1、供应商应保质保量按时按约完成项目合同规定的各项工作，并于项目结题时按要求如实填写项目验收报告书。</w:t>
      </w:r>
    </w:p>
    <w:p>
      <w:pPr>
        <w:ind w:firstLine="560" w:firstLineChars="200"/>
        <w:rPr>
          <w:rFonts w:hint="eastAsia" w:asciiTheme="minorEastAsia" w:hAnsiTheme="minorEastAsia"/>
          <w:sz w:val="28"/>
          <w:szCs w:val="28"/>
        </w:rPr>
      </w:pPr>
      <w:r>
        <w:rPr>
          <w:rFonts w:hint="eastAsia" w:asciiTheme="minorEastAsia" w:hAnsiTheme="minorEastAsia"/>
          <w:sz w:val="28"/>
          <w:szCs w:val="28"/>
        </w:rPr>
        <w:t>2、相关佐证材料应随项目验收报告书一起递交。业绩表述应实事求是，能与佐证材料互相印证，切勿夸大或遗漏。</w:t>
      </w:r>
    </w:p>
    <w:p>
      <w:pPr>
        <w:ind w:firstLine="560" w:firstLineChars="200"/>
        <w:rPr>
          <w:rFonts w:hint="eastAsia" w:asciiTheme="minorEastAsia" w:hAnsiTheme="minorEastAsia"/>
          <w:sz w:val="28"/>
          <w:szCs w:val="28"/>
        </w:rPr>
      </w:pPr>
      <w:r>
        <w:rPr>
          <w:rFonts w:hint="eastAsia" w:asciiTheme="minorEastAsia" w:hAnsiTheme="minorEastAsia"/>
          <w:sz w:val="28"/>
          <w:szCs w:val="28"/>
        </w:rPr>
        <w:t>3、采购人将</w:t>
      </w:r>
      <w:r>
        <w:rPr>
          <w:rFonts w:hint="eastAsia" w:asciiTheme="minorEastAsia" w:hAnsiTheme="minorEastAsia"/>
          <w:sz w:val="28"/>
          <w:szCs w:val="28"/>
          <w:lang w:eastAsia="zh-CN"/>
        </w:rPr>
        <w:t>组织专家组</w:t>
      </w:r>
      <w:r>
        <w:rPr>
          <w:rFonts w:hint="eastAsia" w:asciiTheme="minorEastAsia" w:hAnsiTheme="minorEastAsia"/>
          <w:sz w:val="28"/>
          <w:szCs w:val="28"/>
        </w:rPr>
        <w:t>进行验收评估</w:t>
      </w:r>
      <w:r>
        <w:rPr>
          <w:rFonts w:hint="eastAsia" w:asciiTheme="minorEastAsia" w:hAnsiTheme="minorEastAsia"/>
          <w:sz w:val="28"/>
          <w:szCs w:val="28"/>
          <w:lang w:eastAsia="zh-CN"/>
        </w:rPr>
        <w:t>，验收相关费用包含在投标总价中</w:t>
      </w:r>
      <w:r>
        <w:rPr>
          <w:rFonts w:hint="eastAsia" w:asciiTheme="minorEastAsia" w:hAnsiTheme="minorEastAsia"/>
          <w:sz w:val="28"/>
          <w:szCs w:val="28"/>
        </w:rPr>
        <w:t>。对验收评估通过的项目，采购人将按照合同如期支付尾款。</w:t>
      </w:r>
    </w:p>
    <w:p>
      <w:pPr>
        <w:ind w:firstLine="560" w:firstLineChars="200"/>
        <w:rPr>
          <w:rFonts w:hint="eastAsia" w:asciiTheme="minorEastAsia" w:hAnsiTheme="minorEastAsia"/>
          <w:sz w:val="28"/>
          <w:szCs w:val="28"/>
        </w:rPr>
      </w:pPr>
      <w:r>
        <w:rPr>
          <w:rFonts w:hint="eastAsia" w:asciiTheme="minorEastAsia" w:hAnsiTheme="minorEastAsia"/>
          <w:sz w:val="28"/>
          <w:szCs w:val="28"/>
        </w:rPr>
        <w:t>4、对验收未通过的项目，将按合同约定要求供应商限期整改。对无法整改或整改后仍未达到合同要求的项目，将按验收不通过处罚，具体措施以合同规定为准。</w:t>
      </w:r>
    </w:p>
    <w:p>
      <w:pPr>
        <w:ind w:firstLine="562" w:firstLineChars="200"/>
        <w:rPr>
          <w:rFonts w:hint="eastAsia" w:asciiTheme="minorEastAsia" w:hAnsiTheme="minorEastAsia"/>
          <w:b/>
          <w:sz w:val="28"/>
          <w:szCs w:val="28"/>
        </w:rPr>
      </w:pPr>
      <w:r>
        <w:rPr>
          <w:rFonts w:hint="eastAsia" w:asciiTheme="minorEastAsia" w:hAnsiTheme="minorEastAsia"/>
          <w:b/>
          <w:sz w:val="28"/>
          <w:szCs w:val="28"/>
          <w:lang w:eastAsia="zh-CN"/>
        </w:rPr>
        <w:t>三、资格</w:t>
      </w:r>
      <w:r>
        <w:rPr>
          <w:rFonts w:hint="eastAsia" w:asciiTheme="minorEastAsia" w:hAnsiTheme="minorEastAsia"/>
          <w:b/>
          <w:sz w:val="28"/>
          <w:szCs w:val="28"/>
        </w:rPr>
        <w:t>要求</w:t>
      </w:r>
    </w:p>
    <w:p>
      <w:pPr>
        <w:ind w:firstLine="560" w:firstLineChars="200"/>
        <w:rPr>
          <w:rFonts w:hint="eastAsia" w:asciiTheme="minorEastAsia" w:hAnsiTheme="minorEastAsia"/>
          <w:sz w:val="28"/>
          <w:szCs w:val="28"/>
        </w:rPr>
      </w:pPr>
      <w:r>
        <w:rPr>
          <w:rFonts w:hint="eastAsia" w:asciiTheme="minorEastAsia" w:hAnsiTheme="minorEastAsia"/>
          <w:sz w:val="28"/>
          <w:szCs w:val="28"/>
        </w:rPr>
        <w:t>（一）在中华人民共和国境内注册，具有独立承担民事责任的能力的研究机构、高校、行业协会等企事业单位和社会团体等；</w:t>
      </w:r>
    </w:p>
    <w:p>
      <w:pPr>
        <w:ind w:firstLine="560" w:firstLineChars="200"/>
        <w:rPr>
          <w:rFonts w:hint="eastAsia" w:asciiTheme="minorEastAsia" w:hAnsiTheme="minorEastAsia"/>
          <w:sz w:val="28"/>
          <w:szCs w:val="28"/>
        </w:rPr>
      </w:pPr>
      <w:r>
        <w:rPr>
          <w:rFonts w:hint="eastAsia" w:asciiTheme="minorEastAsia" w:hAnsiTheme="minorEastAsia"/>
          <w:sz w:val="28"/>
          <w:szCs w:val="28"/>
        </w:rPr>
        <w:t>（二）具有良好信誉，遵守国家有关法律、法规和规章，参加本采购活动前3年内，在经营活动中没有重大违法记录行为；</w:t>
      </w:r>
    </w:p>
    <w:p>
      <w:pPr>
        <w:ind w:firstLine="560" w:firstLineChars="200"/>
        <w:rPr>
          <w:rFonts w:hint="eastAsia" w:asciiTheme="minorEastAsia" w:hAnsiTheme="minorEastAsia"/>
          <w:sz w:val="28"/>
          <w:szCs w:val="28"/>
        </w:rPr>
      </w:pPr>
      <w:r>
        <w:rPr>
          <w:rFonts w:hint="eastAsia" w:asciiTheme="minorEastAsia" w:hAnsiTheme="minorEastAsia"/>
          <w:sz w:val="28"/>
          <w:szCs w:val="28"/>
        </w:rPr>
        <w:t>（三）熟悉无线电管理相关工作以及具备履行合同所必需的专业技术能力；</w:t>
      </w:r>
    </w:p>
    <w:p>
      <w:pPr>
        <w:ind w:firstLine="560" w:firstLineChars="200"/>
        <w:rPr>
          <w:rFonts w:hint="eastAsia" w:asciiTheme="minorEastAsia" w:hAnsiTheme="minorEastAsia"/>
          <w:sz w:val="28"/>
          <w:szCs w:val="28"/>
        </w:rPr>
      </w:pPr>
      <w:r>
        <w:rPr>
          <w:rFonts w:hint="eastAsia" w:asciiTheme="minorEastAsia" w:hAnsiTheme="minorEastAsia"/>
          <w:sz w:val="28"/>
          <w:szCs w:val="28"/>
        </w:rPr>
        <w:t>（四）研究团队应具备不少于3名中级或以上职称人员，或至少有1名高级及以上职称人员；</w:t>
      </w:r>
    </w:p>
    <w:p>
      <w:pPr>
        <w:ind w:firstLine="560" w:firstLineChars="200"/>
        <w:rPr>
          <w:rFonts w:hint="eastAsia" w:asciiTheme="minorEastAsia" w:hAnsiTheme="minorEastAsia"/>
          <w:sz w:val="28"/>
          <w:szCs w:val="28"/>
        </w:rPr>
      </w:pPr>
    </w:p>
    <w:p>
      <w:pPr>
        <w:ind w:firstLine="560" w:firstLineChars="200"/>
        <w:rPr>
          <w:rFonts w:hint="eastAsia" w:asciiTheme="minorEastAsia" w:hAnsiTheme="minorEastAsia"/>
          <w:sz w:val="28"/>
          <w:szCs w:val="28"/>
        </w:rPr>
      </w:pPr>
    </w:p>
    <w:p>
      <w:pPr>
        <w:ind w:firstLine="560" w:firstLineChars="200"/>
        <w:rPr>
          <w:rFonts w:hint="eastAsia" w:asciiTheme="minorEastAsia" w:hAnsiTheme="minorEastAsia"/>
          <w:sz w:val="28"/>
          <w:szCs w:val="28"/>
          <w:lang w:val="en-US" w:eastAsia="zh-CN"/>
        </w:rPr>
      </w:pPr>
    </w:p>
    <w:p>
      <w:pPr>
        <w:rPr>
          <w:rFonts w:hint="eastAsia" w:asciiTheme="minorEastAsia" w:hAnsi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宋体-方正超大字符集"/>
    <w:panose1 w:val="03000509000000000000"/>
    <w:charset w:val="86"/>
    <w:family w:val="roma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OWY1ZTQ2ZDI3MDlhM2VmNzA5M2VlM2QxYjRhOTMifQ=="/>
  </w:docVars>
  <w:rsids>
    <w:rsidRoot w:val="00E12F05"/>
    <w:rsid w:val="00020B24"/>
    <w:rsid w:val="000332D5"/>
    <w:rsid w:val="000A4815"/>
    <w:rsid w:val="00177F65"/>
    <w:rsid w:val="00260138"/>
    <w:rsid w:val="00315FC6"/>
    <w:rsid w:val="00357B36"/>
    <w:rsid w:val="0038782D"/>
    <w:rsid w:val="004047C3"/>
    <w:rsid w:val="008F60AE"/>
    <w:rsid w:val="00993362"/>
    <w:rsid w:val="00AB7C50"/>
    <w:rsid w:val="00B33D03"/>
    <w:rsid w:val="00B736C9"/>
    <w:rsid w:val="00C57159"/>
    <w:rsid w:val="00D93ABF"/>
    <w:rsid w:val="00E12F05"/>
    <w:rsid w:val="00E83628"/>
    <w:rsid w:val="00EC2D9F"/>
    <w:rsid w:val="024B2564"/>
    <w:rsid w:val="24D94B03"/>
    <w:rsid w:val="2CC52C1B"/>
    <w:rsid w:val="32124718"/>
    <w:rsid w:val="3E09423B"/>
    <w:rsid w:val="626143A0"/>
    <w:rsid w:val="70AE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Subtitle"/>
    <w:basedOn w:val="1"/>
    <w:next w:val="1"/>
    <w:link w:val="6"/>
    <w:qFormat/>
    <w:uiPriority w:val="99"/>
    <w:pPr>
      <w:spacing w:before="240" w:after="60" w:line="312" w:lineRule="auto"/>
      <w:jc w:val="center"/>
      <w:outlineLvl w:val="1"/>
    </w:pPr>
    <w:rPr>
      <w:rFonts w:ascii="Cambria" w:hAnsi="Cambria" w:eastAsia="宋体" w:cs="Cambria"/>
      <w:b/>
      <w:bCs/>
      <w:kern w:val="28"/>
      <w:sz w:val="32"/>
      <w:szCs w:val="32"/>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副标题 Char"/>
    <w:basedOn w:val="3"/>
    <w:link w:val="2"/>
    <w:qFormat/>
    <w:uiPriority w:val="99"/>
    <w:rPr>
      <w:rFonts w:ascii="Cambria" w:hAnsi="Cambria" w:eastAsia="宋体" w:cs="Cambria"/>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184</Words>
  <Characters>1053</Characters>
  <Lines>8</Lines>
  <Paragraphs>2</Paragraphs>
  <TotalTime>2</TotalTime>
  <ScaleCrop>false</ScaleCrop>
  <LinksUpToDate>false</LinksUpToDate>
  <CharactersWithSpaces>1235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2024-03-11T08:14:00Z</dcterms:created>
  <dc:creator>xub</dc:creator>
  <cp:lastModifiedBy>DELL</cp:lastModifiedBy>
  <dcterms:modified xsi:type="dcterms:W3CDTF">2024-04-22T01:10:19Z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0CA71883567C4607A29448918C3A0458_12</vt:lpwstr>
  </property>
</Properties>
</file>