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厦门北站新建二类固定站</w:t>
      </w:r>
    </w:p>
    <w:p>
      <w:pPr>
        <w:pStyle w:val="null3"/>
        <w:jc w:val="center"/>
        <w:outlineLvl w:val="2"/>
      </w:pPr>
      <w:r>
        <w:rPr>
          <w:sz w:val="28"/>
          <w:b/>
        </w:rPr>
        <w:t>备案编号：</w:t>
      </w:r>
      <w:r>
        <w:rPr>
          <w:sz w:val="28"/>
          <w:b/>
        </w:rPr>
        <w:t>CGXM-2024-350201-00384[2024]00289</w:t>
      </w:r>
    </w:p>
    <w:p>
      <w:pPr>
        <w:pStyle w:val="null3"/>
        <w:jc w:val="center"/>
        <w:outlineLvl w:val="2"/>
      </w:pPr>
      <w:r>
        <w:rPr>
          <w:sz w:val="28"/>
          <w:b/>
        </w:rPr>
        <w:t>项目编号：</w:t>
      </w:r>
      <w:r>
        <w:rPr>
          <w:sz w:val="28"/>
          <w:b/>
        </w:rPr>
        <w:t>[350201]WCGC[GK]2024001</w:t>
      </w:r>
    </w:p>
    <w:p>
      <w:pPr>
        <w:pStyle w:val="null3"/>
        <w:jc w:val="center"/>
        <w:outlineLvl w:val="2"/>
      </w:pPr>
      <w:r>
        <w:rPr>
          <w:sz w:val="28"/>
          <w:b/>
        </w:rPr>
        <w:t>采购人：</w:t>
      </w:r>
      <w:r>
        <w:rPr>
          <w:sz w:val="28"/>
          <w:b/>
        </w:rPr>
        <w:t>厦门市无线电管理局</w:t>
      </w:r>
    </w:p>
    <w:p>
      <w:pPr>
        <w:pStyle w:val="null3"/>
        <w:jc w:val="center"/>
        <w:outlineLvl w:val="2"/>
      </w:pPr>
      <w:r>
        <w:rPr>
          <w:sz w:val="28"/>
          <w:b/>
        </w:rPr>
        <w:t>代理机构：</w:t>
      </w:r>
      <w:r>
        <w:rPr>
          <w:sz w:val="28"/>
          <w:b/>
        </w:rPr>
        <w:t>稳诚（厦门）工程咨询管理有限公司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稳诚（厦门）工程咨询管理有限公司</w:t>
      </w:r>
      <w:r>
        <w:rPr/>
        <w:t xml:space="preserve"> 采用公开招标方式组织 </w:t>
      </w:r>
      <w:r>
        <w:rPr/>
        <w:t>厦门北站新建二类固定站</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CGXM-2024-350201-00384[2024]00289</w:t>
      </w:r>
    </w:p>
    <w:p>
      <w:pPr>
        <w:pStyle w:val="null3"/>
        <w:ind w:firstLine="480"/>
        <w:jc w:val="left"/>
        <w:outlineLvl w:val="2"/>
      </w:pPr>
      <w:r>
        <w:rPr>
          <w:sz w:val="28"/>
          <w:b/>
        </w:rPr>
        <w:t>2、项目编号</w:t>
      </w:r>
      <w:r>
        <w:rPr>
          <w:sz w:val="28"/>
          <w:b/>
        </w:rPr>
        <w:t>：</w:t>
      </w:r>
      <w:r>
        <w:rPr>
          <w:sz w:val="28"/>
          <w:b/>
        </w:rPr>
        <w:t>[350201]WCGC[GK]2024001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本项目不允许进口产品</w:t>
      </w:r>
    </w:p>
    <w:p>
      <w:pPr>
        <w:pStyle w:val="null3"/>
        <w:ind w:firstLine="960"/>
        <w:jc w:val="left"/>
      </w:pPr>
      <w:r>
        <w:rPr/>
        <w:t>节能产品：</w:t>
      </w:r>
      <w:r>
        <w:rPr/>
        <w:t>按照《关于调整优化节能产品、环境标志产品政府采购执行机制的通知》财库〔2019〕9号、《市场监管总局关于发布参与实施政府采购节能产品、环境标志产品认证机构名录的公告》（2019年第16号）以及最新的《节能产品政府采购品目清单》等规定执行。</w:t>
      </w:r>
    </w:p>
    <w:p>
      <w:pPr>
        <w:pStyle w:val="null3"/>
        <w:ind w:firstLine="960"/>
        <w:jc w:val="left"/>
      </w:pPr>
      <w:r>
        <w:rPr/>
        <w:t>环境标志产品：</w:t>
      </w:r>
      <w:r>
        <w:rPr/>
        <w:t>按照《关于调整优化节能产品、环境标志产品政府采购执行机制的通知》财库〔2019〕9号、《市场监管总局关于发布参与实施政府采购节能产品、环境标志产品认证机构名录的公告》（2019年第16号）以及最新的《环境标志产品政府采购品目清单》等规定执行。</w:t>
      </w:r>
    </w:p>
    <w:p>
      <w:pPr>
        <w:pStyle w:val="null3"/>
        <w:ind w:firstLine="960"/>
        <w:jc w:val="left"/>
      </w:pPr>
      <w:r>
        <w:rPr/>
        <w:t>促进中小企业发展的相关政策：</w:t>
      </w:r>
    </w:p>
    <w:p>
      <w:pPr>
        <w:pStyle w:val="null3"/>
        <w:ind w:firstLine="960"/>
        <w:jc w:val="left"/>
      </w:pPr>
      <w:r>
        <w:rPr/>
        <w:t>采购包1：设置专门采购包</w:t>
      </w:r>
    </w:p>
    <w:p>
      <w:pPr>
        <w:pStyle w:val="null3"/>
        <w:jc w:val="left"/>
      </w:pPr>
      <w:r>
        <w:rPr/>
        <w:t>面向的企业规模：</w:t>
      </w:r>
      <w:r>
        <w:rPr/>
        <w:t>小微企业</w:t>
      </w:r>
    </w:p>
    <w:p>
      <w:pPr>
        <w:pStyle w:val="null3"/>
        <w:jc w:val="left"/>
      </w:pPr>
      <w:r>
        <w:rPr/>
        <w:t>预留形式：</w:t>
      </w:r>
      <w:r>
        <w:rPr/>
        <w:t>设置专门采购包</w:t>
      </w:r>
    </w:p>
    <w:p>
      <w:pPr>
        <w:pStyle w:val="null3"/>
        <w:jc w:val="left"/>
      </w:pPr>
      <w:r>
        <w:rPr/>
        <w:t>预留比例：</w:t>
      </w:r>
      <w:r>
        <w:rPr/>
        <w:t>不低于</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财务状况报告、依法缴纳税收和依法缴纳社会保障资金的相关材料要求（招标文件其他地方要求与本条款要求不一致的，以本条款要求为准）</w:t>
            </w:r>
          </w:p>
        </w:tc>
        <w:tc>
          <w:tcPr>
            <w:tcW w:type="dxa" w:w="4614"/>
          </w:tcPr>
          <w:p>
            <w:pPr>
              <w:pStyle w:val="null3"/>
              <w:jc w:val="left"/>
            </w:pPr>
            <w:r>
              <w:rPr/>
              <w:t>1.根据《厦门市财政局关于进一步减轻投标人参与政府采购活动成本负担的通知》（厦财采〔2021〕5号）文件要求，本项目基本资格条件不再要求提供财务状况报告、依法缴纳税收和社会保障资金的相关证明材料，改为采取“信用承诺制”，投标人在投标文件中提供资格承诺函（格式详见招标文件第五章-招标文件附件《资格承诺函》）的即可参加采购活动。 2.投标人应当遵循诚实信用原则，不得作虚假承诺。投标人承诺不实的，属于提供虚假材料谋取中标、成交，应依法承担相应的法律责任。 3.投标人可自行选择是否提供资格承诺函，若不提供资格承诺函的，应按采购文件要求提供相应的证明材料。 4.若投标人提供资信证明的，则须提供2023年1月1日以来开户银行出具的资信证明复印件（若资信证明备注有效期的，必须在有效期内，否则为无效资信证明）。</w:t>
            </w:r>
          </w:p>
        </w:tc>
      </w:tr>
      <w:tr>
        <w:tc>
          <w:tcPr>
            <w:tcW w:type="dxa" w:w="3692"/>
          </w:tcPr>
          <w:p>
            <w:pPr>
              <w:pStyle w:val="null3"/>
              <w:jc w:val="left"/>
            </w:pPr>
            <w:r>
              <w:rPr/>
              <w:t>信用记录要求（招标文件其他地方要求与本条款要求不一致的，以本条款要求为准）</w:t>
            </w:r>
          </w:p>
        </w:tc>
        <w:tc>
          <w:tcPr>
            <w:tcW w:type="dxa" w:w="4614"/>
          </w:tcPr>
          <w:p>
            <w:pPr>
              <w:pStyle w:val="null3"/>
              <w:jc w:val="left"/>
            </w:pPr>
            <w:r>
              <w:rPr/>
              <w:t>依据《财政部关于在政府采购活动中查询及使用信用记录有关问题的通知》财库〔2016〕125号规定及厦门市财政局《关于进一步规范投标人信用记录查询使用的通知》（厦财采〔2020〕14号）的规定执行，具体要求如下： 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t>本采购包属于专门面向小微企业采购。</w:t>
            </w:r>
          </w:p>
        </w:tc>
        <w:tc>
          <w:tcPr>
            <w:tcW w:type="dxa" w:w="4614"/>
          </w:tcPr>
          <w:p>
            <w:pPr>
              <w:pStyle w:val="null3"/>
              <w:jc w:val="left"/>
            </w:pPr>
            <w:r>
              <w:rPr/>
              <w:t>1.投标人需满足的条件： 投标人需满足以下条件，否则为无效投标： （1）本项目为专门面向小微企业采购，投标人【在货物采购项目中，指的是货物制造商，工程（服务）采购项目中，指的是工程（服务）承建方（承接方）】应符合财政部《关于印发中小企业划型标准规定的通知》（工信部联企业〔2011〕300号）确定的中型企业、小型企业或微型企业。投标人与大企业的负责人为同一人，或者与大企业存在直接控股、管理关系的除外。符合中小企业划分标准的个体工商户，视同中小企业。 （2）以联合体形式参加采购活动，投标人【工程（服务）采购项目中，指的是工程（服务）承建方（承接方）】各方均需为中小企业。 2.需提供的材料： 投标人须按照本项目的项目属性（货物类）划分提供相对应的《中小企业声明函》，格式详见招标文件第五章附件《中小企业声明函》。未按规定提供的（含格式套用错误的）为无效投标。 3.特别说明： （1）中小企业划分标准文件依据：财政部《关于印发中小企业划型标准规定的通知》（工信部联企业〔2011〕300号）。 （2）投标人应对其出具的《中小企业声明函》真实性、准确性负责。中标（成交）结果将同时公告中标（成交）投标人的《中小企业声明函》。若投标人出具的《中小企业声明函》内容不实的，属于提供虚假材料谋取中标、成交，依照《中华人民共和国政府采购法》等国家有关规定追究相应责任。 （3）本项目适用行业为 工业 。4.监狱企业、残疾人福利性单位视同小型、微型企业。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厦门市无线电管理局</w:t>
      </w:r>
    </w:p>
    <w:p>
      <w:pPr>
        <w:pStyle w:val="null3"/>
        <w:ind w:firstLine="960"/>
        <w:jc w:val="left"/>
      </w:pPr>
      <w:r>
        <w:rPr/>
        <w:t xml:space="preserve"> 地址： </w:t>
      </w:r>
      <w:r>
        <w:rPr/>
        <w:t>厦门市会展南二路200号</w:t>
      </w:r>
    </w:p>
    <w:p>
      <w:pPr>
        <w:pStyle w:val="null3"/>
        <w:jc w:val="left"/>
      </w:pPr>
      <w:r>
        <w:rPr/>
        <w:t xml:space="preserve"> 邮编： </w:t>
      </w:r>
      <w:r>
        <w:rPr/>
        <w:t>361008</w:t>
      </w:r>
    </w:p>
    <w:p>
      <w:pPr>
        <w:pStyle w:val="null3"/>
        <w:jc w:val="left"/>
      </w:pPr>
      <w:r>
        <w:rPr/>
        <w:t xml:space="preserve"> 联系人： </w:t>
      </w:r>
      <w:r>
        <w:rPr/>
        <w:t>陈南阳</w:t>
      </w:r>
    </w:p>
    <w:p>
      <w:pPr>
        <w:pStyle w:val="null3"/>
        <w:jc w:val="left"/>
      </w:pPr>
      <w:r>
        <w:rPr/>
        <w:t xml:space="preserve"> 联系电话： </w:t>
      </w:r>
      <w:r>
        <w:rPr/>
        <w:t>13906036909</w:t>
      </w:r>
    </w:p>
    <w:p>
      <w:pPr>
        <w:pStyle w:val="null3"/>
        <w:ind w:firstLine="480"/>
        <w:jc w:val="left"/>
        <w:outlineLvl w:val="2"/>
      </w:pPr>
      <w:r>
        <w:rPr>
          <w:sz w:val="28"/>
          <w:b/>
        </w:rPr>
        <w:t>12、代理机构</w:t>
      </w:r>
      <w:r>
        <w:rPr>
          <w:sz w:val="28"/>
          <w:b/>
        </w:rPr>
        <w:t>：</w:t>
      </w:r>
      <w:r>
        <w:rPr>
          <w:sz w:val="28"/>
          <w:b/>
        </w:rPr>
        <w:t>稳诚（厦门）工程咨询管理有限公司</w:t>
      </w:r>
    </w:p>
    <w:p>
      <w:pPr>
        <w:pStyle w:val="null3"/>
        <w:ind w:firstLine="960"/>
        <w:jc w:val="both"/>
      </w:pPr>
      <w:r>
        <w:rPr/>
        <w:t xml:space="preserve"> 地址： </w:t>
      </w:r>
      <w:r>
        <w:rPr/>
        <w:t>厦门市思明前埔村前埔社20号209</w:t>
      </w:r>
    </w:p>
    <w:p>
      <w:pPr>
        <w:pStyle w:val="null3"/>
        <w:jc w:val="both"/>
      </w:pPr>
      <w:r>
        <w:rPr/>
        <w:t xml:space="preserve"> 邮编： </w:t>
      </w:r>
      <w:r>
        <w:rPr/>
        <w:t>361000</w:t>
      </w:r>
    </w:p>
    <w:p>
      <w:pPr>
        <w:pStyle w:val="null3"/>
        <w:jc w:val="both"/>
      </w:pPr>
      <w:r>
        <w:rPr/>
        <w:t xml:space="preserve"> 联系人： </w:t>
      </w:r>
      <w:r>
        <w:rPr/>
        <w:t>李丽华</w:t>
      </w:r>
    </w:p>
    <w:p>
      <w:pPr>
        <w:pStyle w:val="null3"/>
        <w:jc w:val="both"/>
      </w:pPr>
      <w:r>
        <w:rPr/>
        <w:t xml:space="preserve"> 联系电话： </w:t>
      </w:r>
      <w:r>
        <w:rPr/>
        <w:t>15306000668</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稳诚（厦门）工程咨询管理有限公司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2,530,000.00</w:t>
      </w:r>
    </w:p>
    <w:p>
      <w:pPr>
        <w:pStyle w:val="null3"/>
        <w:jc w:val="left"/>
      </w:pPr>
      <w:r>
        <w:rPr/>
        <w:t>采购包最高限价（元）: 2,530,000.00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厦门北站新建二类固定监测站</w:t>
            </w:r>
          </w:p>
        </w:tc>
        <w:tc>
          <w:tcPr>
            <w:tcW w:type="dxa" w:w="1187"/>
          </w:tcPr>
          <w:p>
            <w:pPr>
              <w:pStyle w:val="null3"/>
              <w:jc w:val="right"/>
            </w:pPr>
            <w:r>
              <w:rPr/>
              <w:t>1.00</w:t>
            </w:r>
          </w:p>
        </w:tc>
        <w:tc>
          <w:tcPr>
            <w:tcW w:type="dxa" w:w="1187"/>
          </w:tcPr>
          <w:p>
            <w:pPr>
              <w:pStyle w:val="null3"/>
              <w:jc w:val="right"/>
            </w:pPr>
            <w:r>
              <w:rPr/>
              <w:t>2,530,000.00</w:t>
            </w:r>
          </w:p>
        </w:tc>
        <w:tc>
          <w:tcPr>
            <w:tcW w:type="dxa" w:w="1187"/>
          </w:tcPr>
          <w:p>
            <w:pPr>
              <w:pStyle w:val="null3"/>
              <w:jc w:val="left"/>
            </w:pPr>
            <w:r>
              <w:rPr/>
              <w:t>套</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厦门北站新建二类固定监测站</w:t>
            </w:r>
          </w:p>
        </w:tc>
        <w:tc>
          <w:tcPr>
            <w:tcW w:type="dxa" w:w="554"/>
          </w:tcPr>
          <w:p>
            <w:pPr>
              <w:pStyle w:val="null3"/>
              <w:jc w:val="left"/>
            </w:pPr>
            <w:r>
              <w:rPr/>
              <w:t>套</w:t>
            </w:r>
          </w:p>
        </w:tc>
        <w:tc>
          <w:tcPr>
            <w:tcW w:type="dxa" w:w="554"/>
          </w:tcPr>
          <w:p>
            <w:pPr>
              <w:pStyle w:val="null3"/>
              <w:jc w:val="left"/>
            </w:pPr>
            <w:r>
              <w:rPr/>
              <w:t>元</w:t>
            </w:r>
          </w:p>
        </w:tc>
        <w:tc>
          <w:tcPr>
            <w:tcW w:type="dxa" w:w="1384"/>
          </w:tcPr>
          <w:p>
            <w:pPr>
              <w:pStyle w:val="null3"/>
              <w:jc w:val="right"/>
            </w:pPr>
            <w:r>
              <w:rPr/>
              <w:t>2,530,000.00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厦门北站新建二类固定监测站</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监测天线</w:t>
            </w:r>
          </w:p>
        </w:tc>
        <w:tc>
          <w:tcPr>
            <w:tcW w:type="dxa" w:w="2076"/>
          </w:tcPr>
          <w:p>
            <w:pPr>
              <w:pStyle w:val="null3"/>
              <w:jc w:val="left"/>
            </w:pPr>
            <w:r>
              <w:rPr/>
              <w:t>监测天线</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w:t>
            </w:r>
          </w:p>
        </w:tc>
        <w:tc>
          <w:tcPr>
            <w:tcW w:type="dxa" w:w="2076"/>
          </w:tcPr>
          <w:p>
            <w:pPr>
              <w:pStyle w:val="null3"/>
              <w:jc w:val="left"/>
            </w:pPr>
            <w:r>
              <w:rPr/>
              <w:t>双极化测向天线</w:t>
            </w:r>
          </w:p>
        </w:tc>
        <w:tc>
          <w:tcPr>
            <w:tcW w:type="dxa" w:w="2076"/>
          </w:tcPr>
          <w:p>
            <w:pPr>
              <w:pStyle w:val="null3"/>
              <w:jc w:val="left"/>
            </w:pPr>
            <w:r>
              <w:rPr/>
              <w:t>双极化测向天线</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3</w:t>
            </w:r>
          </w:p>
        </w:tc>
        <w:tc>
          <w:tcPr>
            <w:tcW w:type="dxa" w:w="2076"/>
          </w:tcPr>
          <w:p>
            <w:pPr>
              <w:pStyle w:val="null3"/>
              <w:jc w:val="left"/>
            </w:pPr>
            <w:r>
              <w:rPr/>
              <w:t>天馈系统配套设施</w:t>
            </w:r>
          </w:p>
        </w:tc>
        <w:tc>
          <w:tcPr>
            <w:tcW w:type="dxa" w:w="2076"/>
          </w:tcPr>
          <w:p>
            <w:pPr>
              <w:pStyle w:val="null3"/>
              <w:jc w:val="left"/>
            </w:pPr>
            <w:r>
              <w:rPr/>
              <w:t>天馈系统配套设施</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4</w:t>
            </w:r>
          </w:p>
        </w:tc>
        <w:tc>
          <w:tcPr>
            <w:tcW w:type="dxa" w:w="2076"/>
          </w:tcPr>
          <w:p>
            <w:pPr>
              <w:pStyle w:val="null3"/>
              <w:jc w:val="left"/>
            </w:pPr>
            <w:r>
              <w:rPr/>
              <w:t>宽带监测接收机</w:t>
            </w:r>
          </w:p>
        </w:tc>
        <w:tc>
          <w:tcPr>
            <w:tcW w:type="dxa" w:w="2076"/>
          </w:tcPr>
          <w:p>
            <w:pPr>
              <w:pStyle w:val="null3"/>
              <w:jc w:val="left"/>
            </w:pPr>
            <w:r>
              <w:rPr/>
              <w:t>宽带监测接收机</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5</w:t>
            </w:r>
          </w:p>
        </w:tc>
        <w:tc>
          <w:tcPr>
            <w:tcW w:type="dxa" w:w="2076"/>
          </w:tcPr>
          <w:p>
            <w:pPr>
              <w:pStyle w:val="null3"/>
              <w:jc w:val="left"/>
            </w:pPr>
            <w:r>
              <w:rPr/>
              <w:t>测向接收机</w:t>
            </w:r>
          </w:p>
        </w:tc>
        <w:tc>
          <w:tcPr>
            <w:tcW w:type="dxa" w:w="2076"/>
          </w:tcPr>
          <w:p>
            <w:pPr>
              <w:pStyle w:val="null3"/>
              <w:jc w:val="left"/>
            </w:pPr>
            <w:r>
              <w:rPr/>
              <w:t>测向接收机</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6</w:t>
            </w:r>
          </w:p>
        </w:tc>
        <w:tc>
          <w:tcPr>
            <w:tcW w:type="dxa" w:w="2076"/>
          </w:tcPr>
          <w:p>
            <w:pPr>
              <w:pStyle w:val="null3"/>
              <w:jc w:val="left"/>
            </w:pPr>
            <w:r>
              <w:rPr/>
              <w:t>数字信号监测设备</w:t>
            </w:r>
          </w:p>
        </w:tc>
        <w:tc>
          <w:tcPr>
            <w:tcW w:type="dxa" w:w="2076"/>
          </w:tcPr>
          <w:p>
            <w:pPr>
              <w:pStyle w:val="null3"/>
              <w:jc w:val="left"/>
            </w:pPr>
            <w:r>
              <w:rPr/>
              <w:t>数字信号监测设备</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7</w:t>
            </w:r>
          </w:p>
        </w:tc>
        <w:tc>
          <w:tcPr>
            <w:tcW w:type="dxa" w:w="2076"/>
          </w:tcPr>
          <w:p>
            <w:pPr>
              <w:pStyle w:val="null3"/>
              <w:jc w:val="left"/>
            </w:pPr>
            <w:r>
              <w:rPr/>
              <w:t>GSM-R专用监测接收机</w:t>
            </w:r>
          </w:p>
        </w:tc>
        <w:tc>
          <w:tcPr>
            <w:tcW w:type="dxa" w:w="2076"/>
          </w:tcPr>
          <w:p>
            <w:pPr>
              <w:pStyle w:val="null3"/>
              <w:jc w:val="left"/>
            </w:pPr>
            <w:r>
              <w:rPr/>
              <w:t>GSM-R专用监测接收机</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8</w:t>
            </w:r>
          </w:p>
        </w:tc>
        <w:tc>
          <w:tcPr>
            <w:tcW w:type="dxa" w:w="2076"/>
          </w:tcPr>
          <w:p>
            <w:pPr>
              <w:pStyle w:val="null3"/>
              <w:jc w:val="left"/>
            </w:pPr>
            <w:r>
              <w:rPr/>
              <w:t>信号管制设备</w:t>
            </w:r>
          </w:p>
        </w:tc>
        <w:tc>
          <w:tcPr>
            <w:tcW w:type="dxa" w:w="2076"/>
          </w:tcPr>
          <w:p>
            <w:pPr>
              <w:pStyle w:val="null3"/>
              <w:jc w:val="left"/>
            </w:pPr>
            <w:r>
              <w:rPr/>
              <w:t>信号管制设备</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9</w:t>
            </w:r>
          </w:p>
        </w:tc>
        <w:tc>
          <w:tcPr>
            <w:tcW w:type="dxa" w:w="2076"/>
          </w:tcPr>
          <w:p>
            <w:pPr>
              <w:pStyle w:val="null3"/>
              <w:jc w:val="left"/>
            </w:pPr>
            <w:r>
              <w:rPr/>
              <w:t>控制处理器</w:t>
            </w:r>
          </w:p>
        </w:tc>
        <w:tc>
          <w:tcPr>
            <w:tcW w:type="dxa" w:w="2076"/>
          </w:tcPr>
          <w:p>
            <w:pPr>
              <w:pStyle w:val="null3"/>
              <w:jc w:val="left"/>
            </w:pPr>
            <w:r>
              <w:rPr/>
              <w:t>控制处理器</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10</w:t>
            </w:r>
          </w:p>
        </w:tc>
        <w:tc>
          <w:tcPr>
            <w:tcW w:type="dxa" w:w="2076"/>
          </w:tcPr>
          <w:p>
            <w:pPr>
              <w:pStyle w:val="null3"/>
              <w:jc w:val="left"/>
            </w:pPr>
            <w:r>
              <w:rPr/>
              <w:t>交换机</w:t>
            </w:r>
          </w:p>
        </w:tc>
        <w:tc>
          <w:tcPr>
            <w:tcW w:type="dxa" w:w="2076"/>
          </w:tcPr>
          <w:p>
            <w:pPr>
              <w:pStyle w:val="null3"/>
              <w:jc w:val="left"/>
            </w:pPr>
            <w:r>
              <w:rPr/>
              <w:t>交换机</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11</w:t>
            </w:r>
          </w:p>
        </w:tc>
        <w:tc>
          <w:tcPr>
            <w:tcW w:type="dxa" w:w="2076"/>
          </w:tcPr>
          <w:p>
            <w:pPr>
              <w:pStyle w:val="null3"/>
              <w:jc w:val="left"/>
            </w:pPr>
            <w:r>
              <w:rPr/>
              <w:t>路由器</w:t>
            </w:r>
          </w:p>
        </w:tc>
        <w:tc>
          <w:tcPr>
            <w:tcW w:type="dxa" w:w="2076"/>
          </w:tcPr>
          <w:p>
            <w:pPr>
              <w:pStyle w:val="null3"/>
              <w:jc w:val="left"/>
            </w:pPr>
            <w:r>
              <w:rPr/>
              <w:t>路由器</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12</w:t>
            </w:r>
          </w:p>
        </w:tc>
        <w:tc>
          <w:tcPr>
            <w:tcW w:type="dxa" w:w="2076"/>
          </w:tcPr>
          <w:p>
            <w:pPr>
              <w:pStyle w:val="null3"/>
              <w:jc w:val="left"/>
            </w:pPr>
            <w:r>
              <w:rPr/>
              <w:t>摄像头</w:t>
            </w:r>
          </w:p>
        </w:tc>
        <w:tc>
          <w:tcPr>
            <w:tcW w:type="dxa" w:w="2076"/>
          </w:tcPr>
          <w:p>
            <w:pPr>
              <w:pStyle w:val="null3"/>
              <w:jc w:val="left"/>
            </w:pPr>
            <w:r>
              <w:rPr/>
              <w:t>摄像头</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13</w:t>
            </w:r>
          </w:p>
        </w:tc>
        <w:tc>
          <w:tcPr>
            <w:tcW w:type="dxa" w:w="2076"/>
          </w:tcPr>
          <w:p>
            <w:pPr>
              <w:pStyle w:val="null3"/>
              <w:jc w:val="left"/>
            </w:pPr>
            <w:r>
              <w:rPr/>
              <w:t>信号识别与分析</w:t>
            </w:r>
          </w:p>
        </w:tc>
        <w:tc>
          <w:tcPr>
            <w:tcW w:type="dxa" w:w="2076"/>
          </w:tcPr>
          <w:p>
            <w:pPr>
              <w:pStyle w:val="null3"/>
              <w:jc w:val="left"/>
            </w:pPr>
            <w:r>
              <w:rPr/>
              <w:t>信号识别与分析</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14</w:t>
            </w:r>
          </w:p>
        </w:tc>
        <w:tc>
          <w:tcPr>
            <w:tcW w:type="dxa" w:w="2076"/>
          </w:tcPr>
          <w:p>
            <w:pPr>
              <w:pStyle w:val="null3"/>
              <w:jc w:val="left"/>
            </w:pPr>
            <w:r>
              <w:rPr/>
              <w:t>硬盘录像机</w:t>
            </w:r>
          </w:p>
        </w:tc>
        <w:tc>
          <w:tcPr>
            <w:tcW w:type="dxa" w:w="2076"/>
          </w:tcPr>
          <w:p>
            <w:pPr>
              <w:pStyle w:val="null3"/>
              <w:jc w:val="left"/>
            </w:pPr>
            <w:r>
              <w:rPr/>
              <w:t>硬盘录像机</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15</w:t>
            </w:r>
          </w:p>
        </w:tc>
        <w:tc>
          <w:tcPr>
            <w:tcW w:type="dxa" w:w="2076"/>
          </w:tcPr>
          <w:p>
            <w:pPr>
              <w:pStyle w:val="null3"/>
              <w:jc w:val="left"/>
            </w:pPr>
            <w:r>
              <w:rPr/>
              <w:t>电视信号监测</w:t>
            </w:r>
          </w:p>
        </w:tc>
        <w:tc>
          <w:tcPr>
            <w:tcW w:type="dxa" w:w="2076"/>
          </w:tcPr>
          <w:p>
            <w:pPr>
              <w:pStyle w:val="null3"/>
              <w:jc w:val="left"/>
            </w:pPr>
            <w:r>
              <w:rPr/>
              <w:t>电视信号监测</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16</w:t>
            </w:r>
          </w:p>
        </w:tc>
        <w:tc>
          <w:tcPr>
            <w:tcW w:type="dxa" w:w="2076"/>
          </w:tcPr>
          <w:p>
            <w:pPr>
              <w:pStyle w:val="null3"/>
              <w:jc w:val="left"/>
            </w:pPr>
            <w:r>
              <w:rPr/>
              <w:t>监测测向设备软件</w:t>
            </w:r>
          </w:p>
        </w:tc>
        <w:tc>
          <w:tcPr>
            <w:tcW w:type="dxa" w:w="2076"/>
          </w:tcPr>
          <w:p>
            <w:pPr>
              <w:pStyle w:val="null3"/>
              <w:jc w:val="left"/>
            </w:pPr>
            <w:r>
              <w:rPr/>
              <w:t>监测测向设备软件</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17</w:t>
            </w:r>
          </w:p>
        </w:tc>
        <w:tc>
          <w:tcPr>
            <w:tcW w:type="dxa" w:w="2076"/>
          </w:tcPr>
          <w:p>
            <w:pPr>
              <w:pStyle w:val="null3"/>
              <w:jc w:val="left"/>
            </w:pPr>
            <w:r>
              <w:rPr/>
              <w:t>UPS电源</w:t>
            </w:r>
          </w:p>
        </w:tc>
        <w:tc>
          <w:tcPr>
            <w:tcW w:type="dxa" w:w="2076"/>
          </w:tcPr>
          <w:p>
            <w:pPr>
              <w:pStyle w:val="null3"/>
              <w:jc w:val="left"/>
            </w:pPr>
            <w:r>
              <w:rPr/>
              <w:t>UPS电源</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18</w:t>
            </w:r>
          </w:p>
        </w:tc>
        <w:tc>
          <w:tcPr>
            <w:tcW w:type="dxa" w:w="2076"/>
          </w:tcPr>
          <w:p>
            <w:pPr>
              <w:pStyle w:val="null3"/>
              <w:jc w:val="left"/>
            </w:pPr>
            <w:r>
              <w:rPr/>
              <w:t>蓄电池</w:t>
            </w:r>
          </w:p>
        </w:tc>
        <w:tc>
          <w:tcPr>
            <w:tcW w:type="dxa" w:w="2076"/>
          </w:tcPr>
          <w:p>
            <w:pPr>
              <w:pStyle w:val="null3"/>
              <w:jc w:val="left"/>
            </w:pPr>
            <w:r>
              <w:rPr/>
              <w:t>蓄电池</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19</w:t>
            </w:r>
          </w:p>
        </w:tc>
        <w:tc>
          <w:tcPr>
            <w:tcW w:type="dxa" w:w="2076"/>
          </w:tcPr>
          <w:p>
            <w:pPr>
              <w:pStyle w:val="null3"/>
              <w:jc w:val="left"/>
            </w:pPr>
            <w:r>
              <w:rPr/>
              <w:t>原子化服务软件</w:t>
            </w:r>
          </w:p>
        </w:tc>
        <w:tc>
          <w:tcPr>
            <w:tcW w:type="dxa" w:w="2076"/>
          </w:tcPr>
          <w:p>
            <w:pPr>
              <w:pStyle w:val="null3"/>
              <w:jc w:val="left"/>
            </w:pPr>
            <w:r>
              <w:rPr/>
              <w:t>原子化服务软件</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20</w:t>
            </w:r>
          </w:p>
        </w:tc>
        <w:tc>
          <w:tcPr>
            <w:tcW w:type="dxa" w:w="2076"/>
          </w:tcPr>
          <w:p>
            <w:pPr>
              <w:pStyle w:val="null3"/>
              <w:jc w:val="left"/>
            </w:pPr>
            <w:r>
              <w:rPr/>
              <w:t>防雷接地系统</w:t>
            </w:r>
          </w:p>
        </w:tc>
        <w:tc>
          <w:tcPr>
            <w:tcW w:type="dxa" w:w="2076"/>
          </w:tcPr>
          <w:p>
            <w:pPr>
              <w:pStyle w:val="null3"/>
              <w:jc w:val="left"/>
            </w:pPr>
            <w:r>
              <w:rPr/>
              <w:t>防雷接地系统</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21</w:t>
            </w:r>
          </w:p>
        </w:tc>
        <w:tc>
          <w:tcPr>
            <w:tcW w:type="dxa" w:w="2076"/>
          </w:tcPr>
          <w:p>
            <w:pPr>
              <w:pStyle w:val="null3"/>
              <w:jc w:val="left"/>
            </w:pPr>
            <w:r>
              <w:rPr/>
              <w:t>环境监控系统</w:t>
            </w:r>
          </w:p>
        </w:tc>
        <w:tc>
          <w:tcPr>
            <w:tcW w:type="dxa" w:w="2076"/>
          </w:tcPr>
          <w:p>
            <w:pPr>
              <w:pStyle w:val="null3"/>
              <w:jc w:val="left"/>
            </w:pPr>
            <w:r>
              <w:rPr/>
              <w:t>环境监控系统</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22</w:t>
            </w:r>
          </w:p>
        </w:tc>
        <w:tc>
          <w:tcPr>
            <w:tcW w:type="dxa" w:w="2076"/>
          </w:tcPr>
          <w:p>
            <w:pPr>
              <w:pStyle w:val="null3"/>
              <w:jc w:val="left"/>
            </w:pPr>
            <w:r>
              <w:rPr/>
              <w:t>机房</w:t>
            </w:r>
          </w:p>
        </w:tc>
        <w:tc>
          <w:tcPr>
            <w:tcW w:type="dxa" w:w="2076"/>
          </w:tcPr>
          <w:p>
            <w:pPr>
              <w:pStyle w:val="null3"/>
              <w:jc w:val="left"/>
            </w:pPr>
            <w:r>
              <w:rPr/>
              <w:t>机房</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23</w:t>
            </w:r>
          </w:p>
        </w:tc>
        <w:tc>
          <w:tcPr>
            <w:tcW w:type="dxa" w:w="2076"/>
          </w:tcPr>
          <w:p>
            <w:pPr>
              <w:pStyle w:val="null3"/>
              <w:jc w:val="left"/>
            </w:pPr>
            <w:r>
              <w:rPr/>
              <w:t>系统集成含铁塔建设(改造)</w:t>
            </w:r>
          </w:p>
        </w:tc>
        <w:tc>
          <w:tcPr>
            <w:tcW w:type="dxa" w:w="2076"/>
          </w:tcPr>
          <w:p>
            <w:pPr>
              <w:pStyle w:val="null3"/>
              <w:jc w:val="left"/>
            </w:pPr>
            <w:r>
              <w:rPr/>
              <w:t>系统集成含铁塔建设(改造)</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采购包1：集中组织现场踏勘，具体详见招标文件第五章。</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稳诚（厦门）工程咨询管理有限公司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厦门市财政局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本项目类别：货物类。②招标代理服务费收费标准：本项目代理服务费以中标金额为计费基础，招标代理服务费由中标人在领取《中标通知书》前，以银行转账、电汇方式（注：不接受转账支票、现金存款单、汇票、个人名义等。）等付款方式一次性缴清至稳诚（厦门）工程咨询管理有限公司账户（开户行：中国工商银行股份有限公司厦门松柏支行，开户名：稳诚（厦门）工程咨询管理有限公司，账号：4100026409200360711）。收费标准（以中标金额为基数）具体为：基数≤100万元部分，按1.5%计取；100万元＜基数≤500万元部分，按1.1%计取；分段累进计算。符合中小企业政策规定且资料提供完整的企业，中标后不再享受服务费下浮10%的优惠。</w:t>
            </w:r>
          </w:p>
          <w:p>
            <w:pPr>
              <w:pStyle w:val="null3"/>
              <w:jc w:val="left"/>
            </w:pPr>
            <w:r>
              <w:rPr/>
              <w:t xml:space="preserve"> (2)其他：</w:t>
            </w:r>
          </w:p>
          <w:p>
            <w:pPr>
              <w:pStyle w:val="null3"/>
              <w:jc w:val="left"/>
            </w:pPr>
            <w:r>
              <w:rPr/>
              <w:t>①针对投标人须知前附表表1序号9的补充说明：提交质疑须附上系统报名截图，来函件应为加盖投标人公章、留有联系方式的原件。代理机构联系地址：厦门市思明区莲岳路221-1号（公交大厦1号楼）11楼前台，联系方式：18006010903。②友情提醒网上报名：登录福建省政府采购网厦门分网（厦门市政府采购网）http://www.ccgp-xiamen.gov.cn/→【操作指南】→【投标人操作指南】，按手册指引操作。请投标人及时进行网上报名并提前办理CA。</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 xml:space="preserve">第二章-投标人须知前附表（表1）序号11中“※若出现上述指定媒体信息不一致情形，应以中国政府采购网福建分网（福建省政府采购网）发布的为准。” </w:t>
            </w:r>
            <w:r>
              <w:rPr/>
              <w:t xml:space="preserve"> 的内容修正为下列内容：</w:t>
            </w:r>
          </w:p>
          <w:p>
            <w:pPr>
              <w:pStyle w:val="null3"/>
              <w:jc w:val="left"/>
            </w:pPr>
            <w:r>
              <w:rPr/>
              <w:t>“※若出现上述指定媒体信息不一致情形，应以中国政府采购网发布的为准。” 后适用本项目的电子招标投标活动。 后适用本项目的电子招标投标活动。</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投标人的投标文件中若有提供单位负责人授权书的，该授权书中的单位负责人签名或签章以及投标人代表的签名使用打字录入方式完成的也视为符合资格要求。</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稳诚（厦门）工程咨询管理有限公司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稳诚（厦门）工程咨询管理有限公司</w:t>
      </w:r>
      <w:r>
        <w:rPr/>
        <w:t xml:space="preserve"> 将在投标截止时间至少15个日历日前，在招标文件载明的指定媒体以更正公告的形式发布澄清或修改的内容。不足15个日历日的， </w:t>
      </w:r>
      <w:r>
        <w:rPr/>
        <w:t>稳诚（厦门）工程咨询管理有限公司</w:t>
      </w:r>
      <w:r>
        <w:rPr/>
        <w:t xml:space="preserve"> 将顺延投标截止时间及开标时间， </w:t>
      </w:r>
      <w:r>
        <w:rPr/>
        <w:t>稳诚（厦门）工程咨询管理有限公司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稳诚（厦门）工程咨询管理有限公司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稳诚（厦门）工程咨询管理有限公司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稳诚（厦门）工程咨询管理有限公司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稳诚（厦门）工程咨询管理有限公司</w:t>
      </w:r>
      <w:r>
        <w:rPr/>
        <w:t xml:space="preserve"> 可终止招标并发布终止公告。</w:t>
      </w:r>
    </w:p>
    <w:p>
      <w:pPr>
        <w:pStyle w:val="null3"/>
        <w:ind w:firstLine="480"/>
        <w:jc w:val="both"/>
      </w:pPr>
      <w:r>
        <w:rPr/>
        <w:t xml:space="preserve">8.2终止公告作为 </w:t>
      </w:r>
      <w:r>
        <w:rPr/>
        <w:t>稳诚（厦门）工程咨询管理有限公司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稳诚（厦门）工程咨询管理有限公司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稳诚（厦门）工程咨询管理有限公司</w:t>
      </w:r>
      <w:r>
        <w:rPr/>
        <w:t xml:space="preserve"> 可于投标有效期届满之前书面要求投标人延长投标有效期，投标人应在 </w:t>
      </w:r>
      <w:r>
        <w:rPr/>
        <w:t>稳诚（厦门）工程咨询管理有限公司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稳诚（厦门）工程咨询管理有限公司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稳诚（厦门）工程咨询管理有限公司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稳诚（厦门）工程咨询管理有限公司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稳诚（厦门）工程咨询管理有限公司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稳诚（厦门）工程咨询管理有限公司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稳诚（厦门）工程咨询管理有限公司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稳诚（厦门）工程咨询管理有限公司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稳诚（厦门）工程咨询管理有限公司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稳诚（厦门）工程咨询管理有限公司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稳诚（厦门）工程咨询管理有限公司</w:t>
      </w:r>
      <w:r>
        <w:rPr/>
        <w:t xml:space="preserve"> 提出询问， </w:t>
      </w:r>
      <w:r>
        <w:rPr/>
        <w:t>稳诚（厦门）工程咨询管理有限公司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稳诚（厦门）工程咨询管理有限公司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稳诚（厦门）工程咨询管理有限公司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由稳诚（厦门）工程咨询管理有限公司派出的工作人员至少1人，</w:t>
      </w:r>
      <w:r>
        <w:rPr/>
        <w:t>其余1人可为采购人代表或稳诚（厦门）工程咨询管理有限公司的工作人员。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财务状况报告、依法缴纳税收和依法缴纳社会保障资金的相关材料要求（招标文件其他地方要求与本条款要求不一致的，以本条款要求为准）</w:t>
            </w:r>
          </w:p>
        </w:tc>
        <w:tc>
          <w:tcPr>
            <w:tcW w:type="dxa" w:w="4614"/>
          </w:tcPr>
          <w:p>
            <w:pPr>
              <w:pStyle w:val="null3"/>
              <w:jc w:val="left"/>
            </w:pPr>
            <w:r>
              <w:rPr/>
              <w:t>1.根据《厦门市财政局关于进一步减轻投标人参与政府采购活动成本负担的通知》（厦财采〔2021〕5号）文件要求，本项目基本资格条件不再要求提供财务状况报告、依法缴纳税收和社会保障资金的相关证明材料，改为采取“信用承诺制”，投标人在投标文件中提供资格承诺函（格式详见招标文件第五章-招标文件附件《资格承诺函》）的即可参加采购活动。 2.投标人应当遵循诚实信用原则，不得作虚假承诺。投标人承诺不实的，属于提供虚假材料谋取中标、成交，应依法承担相应的法律责任。 3.投标人可自行选择是否提供资格承诺函，若不提供资格承诺函的，应按采购文件要求提供相应的证明材料。 4.若投标人提供资信证明的，则须提供2023年1月1日以来开户银行出具的资信证明复印件（若资信证明备注有效期的，必须在有效期内，否则为无效资信证明）。</w:t>
            </w:r>
          </w:p>
        </w:tc>
      </w:tr>
      <w:tr>
        <w:tc>
          <w:tcPr>
            <w:tcW w:type="dxa" w:w="3692"/>
          </w:tcPr>
          <w:p>
            <w:pPr>
              <w:pStyle w:val="null3"/>
              <w:jc w:val="left"/>
            </w:pPr>
            <w:r>
              <w:rPr/>
              <w:t>信用记录要求（招标文件其他地方要求与本条款要求不一致的，以本条款要求为准）</w:t>
            </w:r>
          </w:p>
        </w:tc>
        <w:tc>
          <w:tcPr>
            <w:tcW w:type="dxa" w:w="4614"/>
          </w:tcPr>
          <w:p>
            <w:pPr>
              <w:pStyle w:val="null3"/>
              <w:jc w:val="left"/>
            </w:pPr>
            <w:r>
              <w:rPr/>
              <w:t>依据《财政部关于在政府采购活动中查询及使用信用记录有关问题的通知》财库〔2016〕125号规定及厦门市财政局《关于进一步规范投标人信用记录查询使用的通知》（厦财采〔2020〕14号）的规定执行，具体要求如下： 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t>本采购包属于专门面向小微企业采购。</w:t>
            </w:r>
          </w:p>
        </w:tc>
        <w:tc>
          <w:tcPr>
            <w:tcW w:type="dxa" w:w="4614"/>
          </w:tcPr>
          <w:p>
            <w:pPr>
              <w:pStyle w:val="null3"/>
              <w:jc w:val="left"/>
            </w:pPr>
            <w:r>
              <w:rPr/>
              <w:t>1.投标人需满足的条件： 投标人需满足以下条件，否则为无效投标： （1）本项目为专门面向小微企业采购，投标人【在货物采购项目中，指的是货物制造商，工程（服务）采购项目中，指的是工程（服务）承建方（承接方）】应符合财政部《关于印发中小企业划型标准规定的通知》（工信部联企业〔2011〕300号）确定的中型企业、小型企业或微型企业。投标人与大企业的负责人为同一人，或者与大企业存在直接控股、管理关系的除外。符合中小企业划分标准的个体工商户，视同中小企业。 （2）以联合体形式参加采购活动，投标人【工程（服务）采购项目中，指的是工程（服务）承建方（承接方）】各方均需为中小企业。 2.需提供的材料： 投标人须按照本项目的项目属性（货物类）划分提供相对应的《中小企业声明函》，格式详见招标文件第五章附件《中小企业声明函》。未按规定提供的（含格式套用错误的）为无效投标。 3.特别说明： （1）中小企业划分标准文件依据：财政部《关于印发中小企业划型标准规定的通知》（工信部联企业〔2011〕300号）。 （2）投标人应对其出具的《中小企业声明函》真实性、准确性负责。中标（成交）结果将同时公告中标（成交）投标人的《中小企业声明函》。若投标人出具的《中小企业声明函》内容不实的，属于提供虚假材料谋取中标、成交，依照《中华人民共和国政府采购法》等国家有关规定追究相应责任。 （3）本项目适用行业为 工业 。4.监狱企业、残疾人福利性单位视同小型、微型企业。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稳诚（厦门）工程咨询管理有限公司</w:t>
      </w:r>
      <w:r>
        <w:rPr/>
        <w:t xml:space="preserve"> 统一对外发布。</w:t>
      </w:r>
    </w:p>
    <w:p>
      <w:pPr>
        <w:pStyle w:val="null3"/>
        <w:ind w:firstLine="480"/>
        <w:jc w:val="both"/>
      </w:pPr>
      <w:r>
        <w:rPr/>
        <w:t xml:space="preserve">3、资格审查合格的投标人不足三家的，不进行评标。同时，本次采购活动结束， </w:t>
      </w:r>
      <w:r>
        <w:rPr/>
        <w:t>稳诚（厦门）工程咨询管理有限公司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稳诚（厦门）工程咨询管理有限公司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稳诚（厦门）工程咨询管理有限公司</w:t>
      </w:r>
      <w:r>
        <w:rPr/>
        <w:t xml:space="preserve"> 统一对外发布。</w:t>
      </w:r>
    </w:p>
    <w:p>
      <w:pPr>
        <w:pStyle w:val="null3"/>
        <w:ind w:firstLine="480"/>
        <w:jc w:val="both"/>
      </w:pPr>
      <w:r>
        <w:rPr/>
        <w:t xml:space="preserve">②对 </w:t>
      </w:r>
      <w:r>
        <w:rPr/>
        <w:t>稳诚（厦门）工程咨询管理有限公司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技术商务部分中不得出现报价部分的全部或部分的投标报价信息（或组成资料），否则符合性审查不合格。</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第五章 招标内容及要求/二、技术和服务要求/（五）配置要求★二类固定监测站包括但不限于以下配置。</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第五章 招标内容及要求/三、商务要求/★8.2 ①接收机的监测性能指标，投标时需提供第三方检测机构按GB/T32401-2015《VHF/UHF频段无线电监测接收机技术要求及测试方法》出具的相同型号正式检测报告（须提供扫描件），报告内容需包括但不限于监测灵敏度、解调灵敏度、频率准确度、二阶截断点、三阶截断点、中频干扰抑制比、镜频干扰抑制比、接收机杂散发射和扫描速度等指标的测试结果数据。 ②监测测向系统（监测测向接收机及监测测向天线）的性能指标，投标时需提供第三方检测机构按GB/T34089-2017《VHF/UHF无线电监测测向系统开场测试参数和测试方法》或2015-0709T-YD《基于空间谱估计的VHFUHF无线电测向系统开场测试参数和测试方法》或YD/T3811-2020《3GHz-12.75GHz频段无线电监测测向系统测试方法》出具的相同型号正式检测报告（须提供扫描件），报告内容需包括但不限于监测灵敏度、测向灵敏度、场强测量精度（误差）、测向精度、瞬时信号监测能力、瞬时信号测向能力、天馈系统驻波比、测向分辨率、测向来波数目等指标的测试结果数据。 ③性能测试。投标人须承诺：在到货验收前中标人委托（采购人书面认可的）第三方检测机构按上述①、②要求出具的本项目（对应的型号、序列号）正式检测报告和无线电监测管理一体化平台标准符合性相关报告。相关费用含在投标总价中。除由第三方测试验证机构测试的指标外，本项目其他技术指标由采购人根据需要组织检验和验收。 投标人须提供第三方检验（检测）机构出具的带有CMA或CNAS标识的有效检验（检测）报告复印件并加盖投标人公章。</w:t>
            </w:r>
          </w:p>
        </w:tc>
      </w:tr>
    </w:tbl>
    <w:p>
      <w:pPr>
        <w:pStyle w:val="null3"/>
        <w:ind w:firstLine="480"/>
        <w:jc w:val="both"/>
      </w:pPr>
      <w:r>
        <w:rPr/>
        <w:t>②本项目规定的其他情形：</w:t>
      </w:r>
    </w:p>
    <w:p>
      <w:pPr>
        <w:pStyle w:val="null3"/>
        <w:jc w:val="left"/>
      </w:pPr>
      <w:r>
        <w:rPr/>
        <w:t>采购包1：</w:t>
      </w:r>
    </w:p>
    <w:p>
      <w:pPr>
        <w:pStyle w:val="null3"/>
        <w:jc w:val="left"/>
      </w:pPr>
      <w:r>
        <w:rPr/>
        <w:t>技术符合性：无</w:t>
      </w:r>
    </w:p>
    <w:p>
      <w:pPr>
        <w:pStyle w:val="null3"/>
        <w:jc w:val="left"/>
      </w:pPr>
      <w:r>
        <w:rPr/>
        <w:t>商务符合性：无</w:t>
      </w:r>
    </w:p>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稳诚（厦门）工程咨询管理有限公司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1.同一采购包内，对节能产品、环境标志产品政府采购品目清单范围内，实施优先采购的产品，给予产品价格报价10%的扣除，用扣除后的价格参加评审。采购标的同时包含其它非优先采购产品的，应当在投标文件中对优先采购产品和非优先采购产品进行分项报价，非优先采购产品的报价不得享受给予节能产品、环境标志产品的价格扣除优惠。 2.同一优先采购产品中各认证证书不重复计算价格扣除。强制类节能产品不进行价格扣除。 3.投标人应分别明确节能或环境标志产品的名称、数量、分项报价、总报价并提供国家确定的认证机构出具的且处于有效期之内的产品认证证书扫描件，否则不予价格扣除。【国家确定的认证机构详见“市场监管总局关于发布参与实施政府采购节能产品、环境标志产品认证机构名录的公告”（2019年第16号）】此外，若投标人对节能或环境标志产品的报价明显高于其他同类产品的报价，投标人应按评标委员会要求作出说明并提供相关证明材料，不能合理说明或不能提供相关证明材料的，不予加分。 e.若节能、环境标志产品仅是构成投标产品的部件、组件或零件，则该投标产品不享受鼓励优惠政策。同一品目中各认证证书不重复计算加分。强制类节能产品不享受加分。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其他：无</w:t>
      </w:r>
    </w:p>
    <w:p>
      <w:pPr>
        <w:pStyle w:val="null3"/>
        <w:jc w:val="both"/>
      </w:pPr>
      <w:r>
        <w:rPr/>
        <w:t>技术项（F2×A2）满分为55.0000分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1-1</w:t>
            </w:r>
          </w:p>
        </w:tc>
        <w:tc>
          <w:tcPr>
            <w:tcW w:type="dxa" w:w="831"/>
          </w:tcPr>
          <w:p>
            <w:pPr>
              <w:pStyle w:val="null3"/>
              <w:jc w:val="right"/>
            </w:pPr>
            <w:r>
              <w:rPr/>
              <w:t>20.0000</w:t>
            </w:r>
          </w:p>
        </w:tc>
        <w:tc>
          <w:tcPr>
            <w:tcW w:type="dxa" w:w="4153"/>
          </w:tcPr>
          <w:p>
            <w:pPr>
              <w:pStyle w:val="null3"/>
              <w:jc w:val="both"/>
            </w:pPr>
            <w:r>
              <w:rPr/>
              <w:t>根据各投标人所投货物技术性能对招标文件“第五章招标内容及要求 二、技术和服务要求”（项1-项40）的逐项响应情况由评委进行评分，完全满足的得20分。每有一项不满足扣0.5分。 备注：带“★”标示的内容为不允许负偏离的实质性要求，不满足则其投标无效。</w:t>
            </w:r>
          </w:p>
        </w:tc>
      </w:tr>
      <w:tr>
        <w:tc>
          <w:tcPr>
            <w:tcW w:type="dxa" w:w="3322"/>
          </w:tcPr>
          <w:p>
            <w:pPr>
              <w:pStyle w:val="null3"/>
              <w:jc w:val="both"/>
            </w:pPr>
            <w:r>
              <w:rPr/>
              <w:t>1-2</w:t>
            </w:r>
          </w:p>
        </w:tc>
        <w:tc>
          <w:tcPr>
            <w:tcW w:type="dxa" w:w="831"/>
          </w:tcPr>
          <w:p>
            <w:pPr>
              <w:pStyle w:val="null3"/>
              <w:jc w:val="right"/>
            </w:pPr>
            <w:r>
              <w:rPr/>
              <w:t>3.0000</w:t>
            </w:r>
          </w:p>
        </w:tc>
        <w:tc>
          <w:tcPr>
            <w:tcW w:type="dxa" w:w="4153"/>
          </w:tcPr>
          <w:p>
            <w:pPr>
              <w:pStyle w:val="null3"/>
              <w:jc w:val="both"/>
            </w:pPr>
            <w:r>
              <w:rPr/>
              <w:t>根据投标人对“频谱记录回放（项41）”进行评审： 满足①“可记录偶发信号监测数据、出现时间，回放能快速定位信号出现时间”的频谱的得1分【投标人须提供厂家印刷技术资料（彩页或技术白皮书）并加盖投标人公章予以佐证】； 满足②“记录回放时长不少于30秒，回放步进不高于1微秒”的得2分【投标人须提供第三方机构出具的带有CMA或CNAS标识的有效报告（无标识的须提供具有CMA或CNAS资质证明）复印件或扫描件佐证】； 否则不得分，满分3分。</w:t>
            </w:r>
          </w:p>
        </w:tc>
      </w:tr>
      <w:tr>
        <w:tc>
          <w:tcPr>
            <w:tcW w:type="dxa" w:w="3322"/>
          </w:tcPr>
          <w:p>
            <w:pPr>
              <w:pStyle w:val="null3"/>
              <w:jc w:val="both"/>
            </w:pPr>
            <w:r>
              <w:rPr/>
              <w:t>1-3</w:t>
            </w:r>
          </w:p>
        </w:tc>
        <w:tc>
          <w:tcPr>
            <w:tcW w:type="dxa" w:w="831"/>
          </w:tcPr>
          <w:p>
            <w:pPr>
              <w:pStyle w:val="null3"/>
              <w:jc w:val="right"/>
            </w:pPr>
            <w:r>
              <w:rPr/>
              <w:t>3.0000</w:t>
            </w:r>
          </w:p>
        </w:tc>
        <w:tc>
          <w:tcPr>
            <w:tcW w:type="dxa" w:w="4153"/>
          </w:tcPr>
          <w:p>
            <w:pPr>
              <w:pStyle w:val="null3"/>
              <w:jc w:val="both"/>
            </w:pPr>
            <w:r>
              <w:rPr/>
              <w:t>根据投标人对“监测系统支持对跳频或短时信号进行捕获（项42）”进行评审： 满足①“对跳频信号进行捕获和分析，并输出频集、跳速等测量结果”的得1分。【投标人须提供厂家印刷技术资料（彩页或技术白皮书）并加盖投标人公章予以佐证】； 满足②“POI（100%最短信号截获时长）能够捕获到周期为100ms的1μs脉宽短时信号 (测量值与射频信号功率误差≤3dB)”的得2分。【投标人须提供第三方机构出具的带有CMA或CNAS标识的有效报告（无标识的须提供具有CMA或CNAS资质证明）复印件或扫描件佐证】； 否则不得分，满分3分。</w:t>
            </w:r>
          </w:p>
        </w:tc>
      </w:tr>
      <w:tr>
        <w:tc>
          <w:tcPr>
            <w:tcW w:type="dxa" w:w="3322"/>
          </w:tcPr>
          <w:p>
            <w:pPr>
              <w:pStyle w:val="null3"/>
              <w:jc w:val="both"/>
            </w:pPr>
            <w:r>
              <w:rPr/>
              <w:t>1-4</w:t>
            </w:r>
          </w:p>
        </w:tc>
        <w:tc>
          <w:tcPr>
            <w:tcW w:type="dxa" w:w="831"/>
          </w:tcPr>
          <w:p>
            <w:pPr>
              <w:pStyle w:val="null3"/>
              <w:jc w:val="right"/>
            </w:pPr>
            <w:r>
              <w:rPr/>
              <w:t>1.0000</w:t>
            </w:r>
          </w:p>
        </w:tc>
        <w:tc>
          <w:tcPr>
            <w:tcW w:type="dxa" w:w="4153"/>
          </w:tcPr>
          <w:p>
            <w:pPr>
              <w:pStyle w:val="null3"/>
              <w:jc w:val="both"/>
            </w:pPr>
            <w:r>
              <w:rPr/>
              <w:t>投标人完全满足“支持对雷达脉冲信号参数测量，并输出载频、脉冲重复频率、脉宽、场强等参数（项43）”的得1分。 投标人须提供厂家印刷技术资料（彩页或技术白皮书）并加盖投标人公章，否则不得分。</w:t>
            </w:r>
          </w:p>
        </w:tc>
      </w:tr>
      <w:tr>
        <w:tc>
          <w:tcPr>
            <w:tcW w:type="dxa" w:w="3322"/>
          </w:tcPr>
          <w:p>
            <w:pPr>
              <w:pStyle w:val="null3"/>
              <w:jc w:val="both"/>
            </w:pPr>
            <w:r>
              <w:rPr/>
              <w:t>1-5</w:t>
            </w:r>
          </w:p>
        </w:tc>
        <w:tc>
          <w:tcPr>
            <w:tcW w:type="dxa" w:w="831"/>
          </w:tcPr>
          <w:p>
            <w:pPr>
              <w:pStyle w:val="null3"/>
              <w:jc w:val="right"/>
            </w:pPr>
            <w:r>
              <w:rPr/>
              <w:t>1.0000</w:t>
            </w:r>
          </w:p>
        </w:tc>
        <w:tc>
          <w:tcPr>
            <w:tcW w:type="dxa" w:w="4153"/>
          </w:tcPr>
          <w:p>
            <w:pPr>
              <w:pStyle w:val="null3"/>
              <w:jc w:val="both"/>
            </w:pPr>
            <w:r>
              <w:rPr/>
              <w:t>投标人完全满足“可对某个已知信号进行测向操作，设置频率、带宽、积分时间、衰减、门限等参数，显示实时示向度、示向度概率统计、示向质量、实时电平、电平曲线，同时观察它的中频频谱和幅度－时间图形。并统计在测量时间内的示向度概率值。可以实现垂直／水平极化的单频点测向（项44）”的得1分。 投标人须提供厂家印刷技术资料（彩页或技术白皮书）并加盖投标人公章，否则不得分。</w:t>
            </w:r>
          </w:p>
        </w:tc>
      </w:tr>
      <w:tr>
        <w:tc>
          <w:tcPr>
            <w:tcW w:type="dxa" w:w="3322"/>
          </w:tcPr>
          <w:p>
            <w:pPr>
              <w:pStyle w:val="null3"/>
              <w:jc w:val="both"/>
            </w:pPr>
            <w:r>
              <w:rPr/>
              <w:t>1-6</w:t>
            </w:r>
          </w:p>
        </w:tc>
        <w:tc>
          <w:tcPr>
            <w:tcW w:type="dxa" w:w="831"/>
          </w:tcPr>
          <w:p>
            <w:pPr>
              <w:pStyle w:val="null3"/>
              <w:jc w:val="right"/>
            </w:pPr>
            <w:r>
              <w:rPr/>
              <w:t>1.0000</w:t>
            </w:r>
          </w:p>
        </w:tc>
        <w:tc>
          <w:tcPr>
            <w:tcW w:type="dxa" w:w="4153"/>
          </w:tcPr>
          <w:p>
            <w:pPr>
              <w:pStyle w:val="null3"/>
              <w:jc w:val="both"/>
            </w:pPr>
            <w:r>
              <w:rPr/>
              <w:t>投标人完全满足“无线电测向数据回放，能够对过去不少于24小时内出现过的干扰信号测向定位。可记录偶发信号测向数据、出现时间，回放能快速定位信号出现时间并显示方位图（项45）”的得1分。 投标人须提供厂家印刷技术资料（彩页或技术白皮书）并加盖投标人公章，否则不得分。</w:t>
            </w:r>
          </w:p>
        </w:tc>
      </w:tr>
      <w:tr>
        <w:tc>
          <w:tcPr>
            <w:tcW w:type="dxa" w:w="3322"/>
          </w:tcPr>
          <w:p>
            <w:pPr>
              <w:pStyle w:val="null3"/>
              <w:jc w:val="both"/>
            </w:pPr>
            <w:r>
              <w:rPr/>
              <w:t>1-7</w:t>
            </w:r>
          </w:p>
        </w:tc>
        <w:tc>
          <w:tcPr>
            <w:tcW w:type="dxa" w:w="831"/>
          </w:tcPr>
          <w:p>
            <w:pPr>
              <w:pStyle w:val="null3"/>
              <w:jc w:val="right"/>
            </w:pPr>
            <w:r>
              <w:rPr/>
              <w:t>1.0000</w:t>
            </w:r>
          </w:p>
        </w:tc>
        <w:tc>
          <w:tcPr>
            <w:tcW w:type="dxa" w:w="4153"/>
          </w:tcPr>
          <w:p>
            <w:pPr>
              <w:pStyle w:val="null3"/>
              <w:jc w:val="both"/>
            </w:pPr>
            <w:r>
              <w:rPr/>
              <w:t>投标人完全满足“支持监测和测向任务实时并行运行（项46）”的得1分。 投标人须提供厂家印刷技术资料（彩页或技术白皮书）并加盖投标人公章，否则不得分。</w:t>
            </w:r>
          </w:p>
        </w:tc>
      </w:tr>
      <w:tr>
        <w:tc>
          <w:tcPr>
            <w:tcW w:type="dxa" w:w="3322"/>
          </w:tcPr>
          <w:p>
            <w:pPr>
              <w:pStyle w:val="null3"/>
              <w:jc w:val="both"/>
            </w:pPr>
            <w:r>
              <w:rPr/>
              <w:t>1-8</w:t>
            </w:r>
          </w:p>
        </w:tc>
        <w:tc>
          <w:tcPr>
            <w:tcW w:type="dxa" w:w="831"/>
          </w:tcPr>
          <w:p>
            <w:pPr>
              <w:pStyle w:val="null3"/>
              <w:jc w:val="right"/>
            </w:pPr>
            <w:r>
              <w:rPr/>
              <w:t>2.0000</w:t>
            </w:r>
          </w:p>
        </w:tc>
        <w:tc>
          <w:tcPr>
            <w:tcW w:type="dxa" w:w="4153"/>
          </w:tcPr>
          <w:p>
            <w:pPr>
              <w:pStyle w:val="null3"/>
              <w:jc w:val="both"/>
            </w:pPr>
            <w:r>
              <w:rPr/>
              <w:t>根据投标人所投“宽带监测接收机技术指标频率稳定度或频率准确度（绝对值）（项47）”进行评审： ①满足“频率稳定度或频率准确度（绝对值）≤2×10-7”的得1分； ②满足“频率稳定度或频率准确度（绝对值）≤1×10-7”的得2分，满分2分。 投标人须提供依据GB/T32401-2015《VHF/UHF频段无线电监测接收机技术要求及测试方法》的第三方检验（检测）机构出具的带有CMA或CNAS标识的有效报告【检测项目必须在第三方检测机构的CMA或CNAS的授权范围内】复印件或扫描件，否则不得分。</w:t>
            </w:r>
          </w:p>
        </w:tc>
      </w:tr>
      <w:tr>
        <w:tc>
          <w:tcPr>
            <w:tcW w:type="dxa" w:w="3322"/>
          </w:tcPr>
          <w:p>
            <w:pPr>
              <w:pStyle w:val="null3"/>
              <w:jc w:val="both"/>
            </w:pPr>
            <w:r>
              <w:rPr/>
              <w:t>1-9</w:t>
            </w:r>
          </w:p>
        </w:tc>
        <w:tc>
          <w:tcPr>
            <w:tcW w:type="dxa" w:w="831"/>
          </w:tcPr>
          <w:p>
            <w:pPr>
              <w:pStyle w:val="null3"/>
              <w:jc w:val="right"/>
            </w:pPr>
            <w:r>
              <w:rPr/>
              <w:t>1.0000</w:t>
            </w:r>
          </w:p>
        </w:tc>
        <w:tc>
          <w:tcPr>
            <w:tcW w:type="dxa" w:w="4153"/>
          </w:tcPr>
          <w:p>
            <w:pPr>
              <w:pStyle w:val="null3"/>
              <w:jc w:val="both"/>
            </w:pPr>
            <w:r>
              <w:rPr/>
              <w:t>根据投标人所投“宽带监测接收机技术指标相位噪声（项48）”进行评审：满足相位噪声（fc=1GHz）≤-120dBc/Hz@10kHz的得1分。 【投标人须提供第三方机构出具的带有CMA或CNAS标识的有效报告（无标识的须提供具有CMA或CNAS资质证明）复印件或扫描件佐证】，否则不得分。</w:t>
            </w:r>
          </w:p>
        </w:tc>
      </w:tr>
      <w:tr>
        <w:tc>
          <w:tcPr>
            <w:tcW w:type="dxa" w:w="3322"/>
          </w:tcPr>
          <w:p>
            <w:pPr>
              <w:pStyle w:val="null3"/>
              <w:jc w:val="both"/>
            </w:pPr>
            <w:r>
              <w:rPr/>
              <w:t>1-10</w:t>
            </w:r>
          </w:p>
        </w:tc>
        <w:tc>
          <w:tcPr>
            <w:tcW w:type="dxa" w:w="831"/>
          </w:tcPr>
          <w:p>
            <w:pPr>
              <w:pStyle w:val="null3"/>
              <w:jc w:val="right"/>
            </w:pPr>
            <w:r>
              <w:rPr/>
              <w:t>3.0000</w:t>
            </w:r>
          </w:p>
        </w:tc>
        <w:tc>
          <w:tcPr>
            <w:tcW w:type="dxa" w:w="4153"/>
          </w:tcPr>
          <w:p>
            <w:pPr>
              <w:pStyle w:val="null3"/>
              <w:jc w:val="both"/>
            </w:pPr>
            <w:r>
              <w:rPr/>
              <w:t>根据投标人所投“中频带宽（项49）”进行评审： 满足实时中频带宽≥100MHz的得1分； 满足实时中频带宽≥500MHz的得3分；满分3分。 【投标人须提供第三方机构出具的带有CMA或CNAS标识的有效报告（无标识的须提供具有CMA或CNAS资质证明）复印件或扫描件佐证】【标注或声明“中频带宽”为“实时中频带宽”】，否则不得分。</w:t>
            </w:r>
          </w:p>
        </w:tc>
      </w:tr>
      <w:tr>
        <w:tc>
          <w:tcPr>
            <w:tcW w:type="dxa" w:w="3322"/>
          </w:tcPr>
          <w:p>
            <w:pPr>
              <w:pStyle w:val="null3"/>
              <w:jc w:val="both"/>
            </w:pPr>
            <w:r>
              <w:rPr/>
              <w:t>1-11</w:t>
            </w:r>
          </w:p>
        </w:tc>
        <w:tc>
          <w:tcPr>
            <w:tcW w:type="dxa" w:w="831"/>
          </w:tcPr>
          <w:p>
            <w:pPr>
              <w:pStyle w:val="null3"/>
              <w:jc w:val="right"/>
            </w:pPr>
            <w:r>
              <w:rPr/>
              <w:t>2.0000</w:t>
            </w:r>
          </w:p>
        </w:tc>
        <w:tc>
          <w:tcPr>
            <w:tcW w:type="dxa" w:w="4153"/>
          </w:tcPr>
          <w:p>
            <w:pPr>
              <w:pStyle w:val="null3"/>
              <w:jc w:val="both"/>
            </w:pPr>
            <w:r>
              <w:rPr/>
              <w:t>根据投标人所投“测向准确度或测向精度（绝对值）（项50）”进行评审： 满足测向准确度或测向精度（绝对值）≤1°（30～3000 MHz ,R.M.S，无反射环境），≤1.5°（3～8GHz，R.M.S，无反射环境）的得2分。 投标人须提供依据GB/T34089-2017《VHF/UHF无线电监测测向系统开场测试参数和测试方法》或YD/T3811-2020《3GHz-12.75GHz频段无线电测向系统测试方法》或2015-0709T-YD《基于空间谱估计的VHF/UHF 无线电测向系统开场测试参数和测试方法》的第三方检验（检测）机构出具的带有CMA或CNAS标识的有效检验（检测）报告【检测项目必须在第三方检测机构的CMA或CNAS的授权范围内】复印件或扫描件，否则不得分。</w:t>
            </w:r>
          </w:p>
        </w:tc>
      </w:tr>
      <w:tr>
        <w:tc>
          <w:tcPr>
            <w:tcW w:type="dxa" w:w="3322"/>
          </w:tcPr>
          <w:p>
            <w:pPr>
              <w:pStyle w:val="null3"/>
              <w:jc w:val="both"/>
            </w:pPr>
            <w:r>
              <w:rPr/>
              <w:t>1-12</w:t>
            </w:r>
          </w:p>
        </w:tc>
        <w:tc>
          <w:tcPr>
            <w:tcW w:type="dxa" w:w="831"/>
          </w:tcPr>
          <w:p>
            <w:pPr>
              <w:pStyle w:val="null3"/>
              <w:jc w:val="right"/>
            </w:pPr>
            <w:r>
              <w:rPr/>
              <w:t>3.0000</w:t>
            </w:r>
          </w:p>
        </w:tc>
        <w:tc>
          <w:tcPr>
            <w:tcW w:type="dxa" w:w="4153"/>
          </w:tcPr>
          <w:p>
            <w:pPr>
              <w:pStyle w:val="null3"/>
              <w:jc w:val="both"/>
            </w:pPr>
            <w:r>
              <w:rPr/>
              <w:t>根据投标人所投“测向系统（测向接收机及测向天线）技术指标测向时效或测向最小驻留时间（项51）”进行评审： ①满足“测向时效或测向最小驻留时间≤0.5ms（单次突发信号）”的得3分； ②满足“测向时效或测向最小驻留时间≤1ms（单次突发信号）”的得2分； ③满足“测向时效或测向最小驻留时间≤1.5ms（单次突发信号）”的得1分，满分3分。 投标人须提供依据GB/T34089-2017《VHF/UHF无线电监测测向系统开场测试参数和测试方法》或YD/T3811-2020《3GHz-12.75GHz频段无线电测向系统测试方法》或2015-0709T-YD《基于空间谱估计的VHF/UHF 无线电测向系统开场测试参数和测试方法》的第三方检验（检测）机构出具的带有CMA或CNAS标识的有效检验（检测）报告【检测项目必须在第三方检测机构的CMA或CNAS的授权范围内】复印件或扫描件，否则不得分。</w:t>
            </w:r>
          </w:p>
        </w:tc>
      </w:tr>
      <w:tr>
        <w:tc>
          <w:tcPr>
            <w:tcW w:type="dxa" w:w="3322"/>
          </w:tcPr>
          <w:p>
            <w:pPr>
              <w:pStyle w:val="null3"/>
              <w:jc w:val="both"/>
            </w:pPr>
            <w:r>
              <w:rPr/>
              <w:t>1-13</w:t>
            </w:r>
          </w:p>
        </w:tc>
        <w:tc>
          <w:tcPr>
            <w:tcW w:type="dxa" w:w="831"/>
          </w:tcPr>
          <w:p>
            <w:pPr>
              <w:pStyle w:val="null3"/>
              <w:jc w:val="right"/>
            </w:pPr>
            <w:r>
              <w:rPr/>
              <w:t>2.0000</w:t>
            </w:r>
          </w:p>
        </w:tc>
        <w:tc>
          <w:tcPr>
            <w:tcW w:type="dxa" w:w="4153"/>
          </w:tcPr>
          <w:p>
            <w:pPr>
              <w:pStyle w:val="null3"/>
              <w:jc w:val="both"/>
            </w:pPr>
            <w:r>
              <w:rPr/>
              <w:t>根据投标人所投测向系统（测向接收机及测向天线）技术指标“同频信号分离个数”或测向来波数目（项52）进行评审： ①满足“同频信号分离个数或 测向来波数目（D/λ&gt;1）≥5”的得2分； ②满足“同频信号分离个数或 测向来波数目（D/λ&gt;1）≥4”的得1分，满分2分。 【投标人须提供依据2015-0709T-YD《基于空间谱估计的VHF/UHF 无线电测向系统开场测试参数和测试方法》的第三方机构出具的带有CMA或CNAS标识的有效报告（无标识的须提供具有CMA或CNAS资质证明）复印件或扫描件佐证】，否则不得分。</w:t>
            </w:r>
          </w:p>
        </w:tc>
      </w:tr>
      <w:tr>
        <w:tc>
          <w:tcPr>
            <w:tcW w:type="dxa" w:w="3322"/>
          </w:tcPr>
          <w:p>
            <w:pPr>
              <w:pStyle w:val="null3"/>
              <w:jc w:val="both"/>
            </w:pPr>
            <w:r>
              <w:rPr/>
              <w:t>1-14</w:t>
            </w:r>
          </w:p>
        </w:tc>
        <w:tc>
          <w:tcPr>
            <w:tcW w:type="dxa" w:w="831"/>
          </w:tcPr>
          <w:p>
            <w:pPr>
              <w:pStyle w:val="null3"/>
              <w:jc w:val="right"/>
            </w:pPr>
            <w:r>
              <w:rPr/>
              <w:t>2.0000</w:t>
            </w:r>
          </w:p>
        </w:tc>
        <w:tc>
          <w:tcPr>
            <w:tcW w:type="dxa" w:w="4153"/>
          </w:tcPr>
          <w:p>
            <w:pPr>
              <w:pStyle w:val="null3"/>
              <w:jc w:val="both"/>
            </w:pPr>
            <w:r>
              <w:rPr/>
              <w:t>根据投标人投标设备原子化服务封装情况进行评审： 提供超短波监测管理一体化平台标准符合性检测报告，报告内容包括全部 33项接口测试（须同时包含Stream和FTP两种模式）检测报告复印件的得2分。 【投标人须提供第三方机构出具的带有CMA或CNAS标识的有效报告（无标识的须提供具有CMA或CNAS资质证明）复印件或扫描件佐证】，否则不得分。</w:t>
            </w:r>
          </w:p>
        </w:tc>
      </w:tr>
      <w:tr>
        <w:tc>
          <w:tcPr>
            <w:tcW w:type="dxa" w:w="3322"/>
          </w:tcPr>
          <w:p>
            <w:pPr>
              <w:pStyle w:val="null3"/>
              <w:jc w:val="both"/>
            </w:pPr>
            <w:r>
              <w:rPr/>
              <w:t>1-15</w:t>
            </w:r>
          </w:p>
        </w:tc>
        <w:tc>
          <w:tcPr>
            <w:tcW w:type="dxa" w:w="831"/>
          </w:tcPr>
          <w:p>
            <w:pPr>
              <w:pStyle w:val="null3"/>
              <w:jc w:val="right"/>
            </w:pPr>
            <w:r>
              <w:rPr/>
              <w:t>2.0000</w:t>
            </w:r>
          </w:p>
        </w:tc>
        <w:tc>
          <w:tcPr>
            <w:tcW w:type="dxa" w:w="4153"/>
          </w:tcPr>
          <w:p>
            <w:pPr>
              <w:pStyle w:val="null3"/>
              <w:jc w:val="both"/>
            </w:pPr>
            <w:r>
              <w:rPr/>
              <w:t>根据投标人提供室外设备监测测向天线，满足IP66及以上防护等级测试(GB/T4208)和盐雾测试(GB/T2423)，同时满足的得2分，否则不得分。 【投标人须提供第三方机构出具的带有CMA或CNAS标识的有效报告（无标识的须提供具有CMA或CNAS资质证明）复印件或扫描件佐证】，否则不得分。</w:t>
            </w:r>
          </w:p>
        </w:tc>
      </w:tr>
      <w:tr>
        <w:tc>
          <w:tcPr>
            <w:tcW w:type="dxa" w:w="3322"/>
          </w:tcPr>
          <w:p>
            <w:pPr>
              <w:pStyle w:val="null3"/>
              <w:jc w:val="both"/>
            </w:pPr>
            <w:r>
              <w:rPr/>
              <w:t>1-16</w:t>
            </w:r>
          </w:p>
        </w:tc>
        <w:tc>
          <w:tcPr>
            <w:tcW w:type="dxa" w:w="831"/>
          </w:tcPr>
          <w:p>
            <w:pPr>
              <w:pStyle w:val="null3"/>
              <w:jc w:val="right"/>
            </w:pPr>
            <w:r>
              <w:rPr/>
              <w:t>2.0000</w:t>
            </w:r>
          </w:p>
        </w:tc>
        <w:tc>
          <w:tcPr>
            <w:tcW w:type="dxa" w:w="4153"/>
          </w:tcPr>
          <w:p>
            <w:pPr>
              <w:pStyle w:val="null3"/>
              <w:jc w:val="both"/>
            </w:pPr>
            <w:r>
              <w:rPr/>
              <w:t>根据投标人针对本项目实施人员情况进行评审： 实施队伍配备高级工程师和高级信息系统项目管理师得2分； 若只配备配备高级工程师或高级信息系统项目管理师其中一个的得1分，否则不得分。 投标人须提供实施人员相应资质证书复印件、身份证复印件、投标人单位在投标截止前六个月（不含投标截止时间的当月）中任意一个月为其缴纳社保的证明材料复印件或扫描件作为佐证材料，否则不得分。</w:t>
            </w:r>
          </w:p>
        </w:tc>
      </w:tr>
      <w:tr>
        <w:tc>
          <w:tcPr>
            <w:tcW w:type="dxa" w:w="3322"/>
          </w:tcPr>
          <w:p>
            <w:pPr>
              <w:pStyle w:val="null3"/>
              <w:jc w:val="both"/>
            </w:pPr>
            <w:r>
              <w:rPr/>
              <w:t>1-17</w:t>
            </w:r>
          </w:p>
        </w:tc>
        <w:tc>
          <w:tcPr>
            <w:tcW w:type="dxa" w:w="831"/>
          </w:tcPr>
          <w:p>
            <w:pPr>
              <w:pStyle w:val="null3"/>
              <w:jc w:val="right"/>
            </w:pPr>
            <w:r>
              <w:rPr/>
              <w:t>2.0000</w:t>
            </w:r>
          </w:p>
        </w:tc>
        <w:tc>
          <w:tcPr>
            <w:tcW w:type="dxa" w:w="4153"/>
          </w:tcPr>
          <w:p>
            <w:pPr>
              <w:pStyle w:val="null3"/>
              <w:jc w:val="both"/>
            </w:pPr>
            <w:r>
              <w:rPr/>
              <w:t>根据投标人针对本项目提供的实施方案进行评审： 方案内容至少包含站址勘察计划，天馈系统的杆塔建设计划、机房勘察计划，施工队伍组织管理、项目实施计划等方面内容。 方案完整可行，对于上述要求的各方面内容均有详细解决方案，配置科学合理、符合项目实际的得2分； 方案基本完整、对于上述要求的各方面内容有涉及，得1.5分； 方案仅有纲要，表述模糊或不能完全满足项目实际需求的得1分，否则不得分。</w:t>
            </w:r>
          </w:p>
        </w:tc>
      </w:tr>
      <w:tr>
        <w:tc>
          <w:tcPr>
            <w:tcW w:type="dxa" w:w="3322"/>
          </w:tcPr>
          <w:p>
            <w:pPr>
              <w:pStyle w:val="null3"/>
              <w:jc w:val="both"/>
            </w:pPr>
            <w:r>
              <w:rPr/>
              <w:t>1-18</w:t>
            </w:r>
          </w:p>
        </w:tc>
        <w:tc>
          <w:tcPr>
            <w:tcW w:type="dxa" w:w="831"/>
          </w:tcPr>
          <w:p>
            <w:pPr>
              <w:pStyle w:val="null3"/>
              <w:jc w:val="right"/>
            </w:pPr>
            <w:r>
              <w:rPr/>
              <w:t>2.0000</w:t>
            </w:r>
          </w:p>
        </w:tc>
        <w:tc>
          <w:tcPr>
            <w:tcW w:type="dxa" w:w="4153"/>
          </w:tcPr>
          <w:p>
            <w:pPr>
              <w:pStyle w:val="null3"/>
              <w:jc w:val="both"/>
            </w:pPr>
            <w:r>
              <w:rPr/>
              <w:t>根据投标人针对本项目系统配置、联网方案、集成安装、防雷接地等四个方面的技术方案进行评审： 方案至少包含①根据本项目招标要求提供详细的系统配置方案，包括系统配置表和主要设备介绍等；②根据本项目需求和相关规范标准提供详细的联网方案，并提供了类似项目联网案例和证明；③根据本项目硬件配置提供符合本项目实际需求的室内外设备的集成安装方案；④根据本项目实际需求提供详细的防雷接地方案。 方案条理清晰、技术说明全面、符合本项目实际需求的得2分； 方案技术说明全面、符合本项目实际需求的得1.5分； 方案内容仅有纲要，表述模糊或不能完全满足项目实际需求的得1分，否则不得分。</w:t>
            </w:r>
          </w:p>
        </w:tc>
      </w:tr>
      <w:tr>
        <w:tc>
          <w:tcPr>
            <w:tcW w:type="dxa" w:w="3322"/>
          </w:tcPr>
          <w:p>
            <w:pPr>
              <w:pStyle w:val="null3"/>
              <w:jc w:val="both"/>
            </w:pPr>
            <w:r>
              <w:rPr/>
              <w:t>1-19</w:t>
            </w:r>
          </w:p>
        </w:tc>
        <w:tc>
          <w:tcPr>
            <w:tcW w:type="dxa" w:w="831"/>
          </w:tcPr>
          <w:p>
            <w:pPr>
              <w:pStyle w:val="null3"/>
              <w:jc w:val="right"/>
            </w:pPr>
            <w:r>
              <w:rPr/>
              <w:t>2.0000</w:t>
            </w:r>
          </w:p>
        </w:tc>
        <w:tc>
          <w:tcPr>
            <w:tcW w:type="dxa" w:w="4153"/>
          </w:tcPr>
          <w:p>
            <w:pPr>
              <w:pStyle w:val="null3"/>
              <w:jc w:val="both"/>
            </w:pPr>
            <w:r>
              <w:rPr/>
              <w:t>根据投标人针对本项目建设和运维期间的应急处置方案进行评审：方案至少包含如出现影响项目建设进度的应急措施、监测数据明显偏离、运维期间故障处理等质量问题时，是否具备有效地预防、补救措施以及其他确保固定监测站数据真实、运行可靠的措施（如提供同类备机）等。 有涉及上述方案内容、描述清楚，可操作性强、符合本项目实际的得2分； 方案基本完整、有涉及上述方案内容，具有一般可操作的得1.5分； 方案仅有纲要，表述模糊或不能完全满足项目实际需求的得1分，否则不得分。</w:t>
            </w:r>
          </w:p>
        </w:tc>
      </w:tr>
    </w:tbl>
    <w:p>
      <w:pPr>
        <w:pStyle w:val="null3"/>
        <w:jc w:val="both"/>
      </w:pPr>
      <w:r>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2-1</w:t>
            </w:r>
          </w:p>
        </w:tc>
        <w:tc>
          <w:tcPr>
            <w:tcW w:type="dxa" w:w="831"/>
          </w:tcPr>
          <w:p>
            <w:pPr>
              <w:pStyle w:val="null3"/>
              <w:jc w:val="right"/>
            </w:pPr>
            <w:r>
              <w:rPr/>
              <w:t>1.0000</w:t>
            </w:r>
          </w:p>
        </w:tc>
        <w:tc>
          <w:tcPr>
            <w:tcW w:type="dxa" w:w="4153"/>
          </w:tcPr>
          <w:p>
            <w:pPr>
              <w:pStyle w:val="null3"/>
              <w:jc w:val="both"/>
            </w:pPr>
            <w:r>
              <w:rPr/>
              <w:t>投标人具有有效的质量管理体系认证的得1分。须提供有效证书复印件或扫描件，否则不得分。</w:t>
            </w:r>
          </w:p>
        </w:tc>
      </w:tr>
      <w:tr>
        <w:tc>
          <w:tcPr>
            <w:tcW w:type="dxa" w:w="3322"/>
          </w:tcPr>
          <w:p>
            <w:pPr>
              <w:pStyle w:val="null3"/>
              <w:jc w:val="both"/>
            </w:pPr>
            <w:r>
              <w:rPr/>
              <w:t>2-2</w:t>
            </w:r>
          </w:p>
        </w:tc>
        <w:tc>
          <w:tcPr>
            <w:tcW w:type="dxa" w:w="831"/>
          </w:tcPr>
          <w:p>
            <w:pPr>
              <w:pStyle w:val="null3"/>
              <w:jc w:val="right"/>
            </w:pPr>
            <w:r>
              <w:rPr/>
              <w:t>1.0000</w:t>
            </w:r>
          </w:p>
        </w:tc>
        <w:tc>
          <w:tcPr>
            <w:tcW w:type="dxa" w:w="4153"/>
          </w:tcPr>
          <w:p>
            <w:pPr>
              <w:pStyle w:val="null3"/>
              <w:jc w:val="both"/>
            </w:pPr>
            <w:r>
              <w:rPr/>
              <w:t>投标人具有有效的信息技术服务管理体系认证的得1分。须提供有效证书复印件或扫描件，否则不得分。</w:t>
            </w:r>
          </w:p>
        </w:tc>
      </w:tr>
      <w:tr>
        <w:tc>
          <w:tcPr>
            <w:tcW w:type="dxa" w:w="3322"/>
          </w:tcPr>
          <w:p>
            <w:pPr>
              <w:pStyle w:val="null3"/>
              <w:jc w:val="both"/>
            </w:pPr>
            <w:r>
              <w:rPr/>
              <w:t>2-3</w:t>
            </w:r>
          </w:p>
        </w:tc>
        <w:tc>
          <w:tcPr>
            <w:tcW w:type="dxa" w:w="831"/>
          </w:tcPr>
          <w:p>
            <w:pPr>
              <w:pStyle w:val="null3"/>
              <w:jc w:val="right"/>
            </w:pPr>
            <w:r>
              <w:rPr/>
              <w:t>1.0000</w:t>
            </w:r>
          </w:p>
        </w:tc>
        <w:tc>
          <w:tcPr>
            <w:tcW w:type="dxa" w:w="4153"/>
          </w:tcPr>
          <w:p>
            <w:pPr>
              <w:pStyle w:val="null3"/>
              <w:jc w:val="both"/>
            </w:pPr>
            <w:r>
              <w:rPr/>
              <w:t>投标人具有有效的信息安全管理体系认证的得1分。须提供有效证书复印件或扫描件，否则不得分。</w:t>
            </w:r>
          </w:p>
        </w:tc>
      </w:tr>
      <w:tr>
        <w:tc>
          <w:tcPr>
            <w:tcW w:type="dxa" w:w="3322"/>
          </w:tcPr>
          <w:p>
            <w:pPr>
              <w:pStyle w:val="null3"/>
              <w:jc w:val="both"/>
            </w:pPr>
            <w:r>
              <w:rPr/>
              <w:t>2-4</w:t>
            </w:r>
          </w:p>
        </w:tc>
        <w:tc>
          <w:tcPr>
            <w:tcW w:type="dxa" w:w="831"/>
          </w:tcPr>
          <w:p>
            <w:pPr>
              <w:pStyle w:val="null3"/>
              <w:jc w:val="right"/>
            </w:pPr>
            <w:r>
              <w:rPr/>
              <w:t>1.0000</w:t>
            </w:r>
          </w:p>
        </w:tc>
        <w:tc>
          <w:tcPr>
            <w:tcW w:type="dxa" w:w="4153"/>
          </w:tcPr>
          <w:p>
            <w:pPr>
              <w:pStyle w:val="null3"/>
              <w:jc w:val="both"/>
            </w:pPr>
            <w:r>
              <w:rPr/>
              <w:t>投标人具有有效的业务连续性管理体系认证证书的得1分。须提供有效证书复印件或扫描件，否则不得分。</w:t>
            </w:r>
          </w:p>
        </w:tc>
      </w:tr>
      <w:tr>
        <w:tc>
          <w:tcPr>
            <w:tcW w:type="dxa" w:w="3322"/>
          </w:tcPr>
          <w:p>
            <w:pPr>
              <w:pStyle w:val="null3"/>
              <w:jc w:val="both"/>
            </w:pPr>
            <w:r>
              <w:rPr/>
              <w:t>2-5</w:t>
            </w:r>
          </w:p>
        </w:tc>
        <w:tc>
          <w:tcPr>
            <w:tcW w:type="dxa" w:w="831"/>
          </w:tcPr>
          <w:p>
            <w:pPr>
              <w:pStyle w:val="null3"/>
              <w:jc w:val="right"/>
            </w:pPr>
            <w:r>
              <w:rPr/>
              <w:t>2.0000</w:t>
            </w:r>
          </w:p>
        </w:tc>
        <w:tc>
          <w:tcPr>
            <w:tcW w:type="dxa" w:w="4153"/>
          </w:tcPr>
          <w:p>
            <w:pPr>
              <w:pStyle w:val="null3"/>
              <w:jc w:val="both"/>
            </w:pPr>
            <w:r>
              <w:rPr/>
              <w:t>投标人具有中国合格评定国家认可委员会认定的电磁测试实验室或电磁测试场，检测标准符合GB/T34089-2017《VHF/UHF无线电监测测向系统开场测试参数和测试方法》，得2分。 投标人须提供有效期内的证书复印件或扫描件或实验室认可能力范围查询截图，否则不得分。</w:t>
            </w:r>
          </w:p>
        </w:tc>
      </w:tr>
      <w:tr>
        <w:tc>
          <w:tcPr>
            <w:tcW w:type="dxa" w:w="3322"/>
          </w:tcPr>
          <w:p>
            <w:pPr>
              <w:pStyle w:val="null3"/>
              <w:jc w:val="both"/>
            </w:pPr>
            <w:r>
              <w:rPr/>
              <w:t>2-6</w:t>
            </w:r>
          </w:p>
        </w:tc>
        <w:tc>
          <w:tcPr>
            <w:tcW w:type="dxa" w:w="831"/>
          </w:tcPr>
          <w:p>
            <w:pPr>
              <w:pStyle w:val="null3"/>
              <w:jc w:val="right"/>
            </w:pPr>
            <w:r>
              <w:rPr/>
              <w:t>2.0000</w:t>
            </w:r>
          </w:p>
        </w:tc>
        <w:tc>
          <w:tcPr>
            <w:tcW w:type="dxa" w:w="4153"/>
          </w:tcPr>
          <w:p>
            <w:pPr>
              <w:pStyle w:val="null3"/>
              <w:jc w:val="both"/>
            </w:pPr>
            <w:r>
              <w:rPr/>
              <w:t>根据投标人维保服务承诺（核心产品应由原制造厂提供维保服务）进行评审。 承诺(加盖投标人公章)质保期结束后提供优质服务，明确有偿维保服务年均维保服务费（需提出具体比例，否则不得分）： 维保服务费不超过总投标价的1.5%，得2分； 维保服务费不超过总投标价的1.7%，得1分； 维保服务费超过总投标价的1.7%，或者投标人未提供维保服务承诺，或者核心产品未承诺由原制造厂提供维保服务的，不得分。</w:t>
            </w:r>
          </w:p>
        </w:tc>
      </w:tr>
      <w:tr>
        <w:tc>
          <w:tcPr>
            <w:tcW w:type="dxa" w:w="3322"/>
          </w:tcPr>
          <w:p>
            <w:pPr>
              <w:pStyle w:val="null3"/>
              <w:jc w:val="both"/>
            </w:pPr>
            <w:r>
              <w:rPr/>
              <w:t>2-7</w:t>
            </w:r>
          </w:p>
        </w:tc>
        <w:tc>
          <w:tcPr>
            <w:tcW w:type="dxa" w:w="831"/>
          </w:tcPr>
          <w:p>
            <w:pPr>
              <w:pStyle w:val="null3"/>
              <w:jc w:val="right"/>
            </w:pPr>
            <w:r>
              <w:rPr/>
              <w:t>3.0000</w:t>
            </w:r>
          </w:p>
        </w:tc>
        <w:tc>
          <w:tcPr>
            <w:tcW w:type="dxa" w:w="4153"/>
          </w:tcPr>
          <w:p>
            <w:pPr>
              <w:pStyle w:val="null3"/>
              <w:jc w:val="both"/>
            </w:pPr>
            <w:r>
              <w:rPr/>
              <w:t>根据投标人的能力进行评审：①无线电设备维修能力；②无线电设备检测能力；③无线电设备校准能力。 满足上述其中一种能力的得1分； 完全满足上述能力的得3分，满分3分。 投标人须提供有效期内的证书复印件或实验室认可能力范围查询截图或带有CNAS标识的有效检验（检测）报告复印件或扫描件，否则不得分。</w:t>
            </w:r>
          </w:p>
        </w:tc>
      </w:tr>
      <w:tr>
        <w:tc>
          <w:tcPr>
            <w:tcW w:type="dxa" w:w="3322"/>
          </w:tcPr>
          <w:p>
            <w:pPr>
              <w:pStyle w:val="null3"/>
              <w:jc w:val="both"/>
            </w:pPr>
            <w:r>
              <w:rPr/>
              <w:t>2-8</w:t>
            </w:r>
          </w:p>
        </w:tc>
        <w:tc>
          <w:tcPr>
            <w:tcW w:type="dxa" w:w="831"/>
          </w:tcPr>
          <w:p>
            <w:pPr>
              <w:pStyle w:val="null3"/>
              <w:jc w:val="right"/>
            </w:pPr>
            <w:r>
              <w:rPr/>
              <w:t>3.0000</w:t>
            </w:r>
          </w:p>
        </w:tc>
        <w:tc>
          <w:tcPr>
            <w:tcW w:type="dxa" w:w="4153"/>
          </w:tcPr>
          <w:p>
            <w:pPr>
              <w:pStyle w:val="null3"/>
              <w:jc w:val="both"/>
            </w:pPr>
            <w:r>
              <w:rPr/>
              <w:t>根据投标人提供2021年1月份至今(日期以合同签订日期为准)由投标人二类或一类监测站项目的销售业绩情况进行评分，每提供1份合格的业绩得1分，满分3分。投标人须提供该业绩项目以下资料的有效复印件或扫描件（原件备查）： （1）中标（成交）通知书； （2）采购合同文本； （3）验收合格证明。 如未按照以上要求提供该项目业绩完整资料的或与本项目无关的项目案例，评标委员会对该项业绩将不予采信。 每个有效业绩得1分，满分3分。</w:t>
            </w:r>
          </w:p>
        </w:tc>
      </w:tr>
      <w:tr>
        <w:tc>
          <w:tcPr>
            <w:tcW w:type="dxa" w:w="3322"/>
          </w:tcPr>
          <w:p>
            <w:pPr>
              <w:pStyle w:val="null3"/>
              <w:jc w:val="both"/>
            </w:pPr>
            <w:r>
              <w:rPr/>
              <w:t>2-9</w:t>
            </w:r>
          </w:p>
        </w:tc>
        <w:tc>
          <w:tcPr>
            <w:tcW w:type="dxa" w:w="831"/>
          </w:tcPr>
          <w:p>
            <w:pPr>
              <w:pStyle w:val="null3"/>
              <w:jc w:val="right"/>
            </w:pPr>
            <w:r>
              <w:rPr/>
              <w:t>1.0000</w:t>
            </w:r>
          </w:p>
        </w:tc>
        <w:tc>
          <w:tcPr>
            <w:tcW w:type="dxa" w:w="4153"/>
          </w:tcPr>
          <w:p>
            <w:pPr>
              <w:pStyle w:val="null3"/>
              <w:jc w:val="both"/>
            </w:pPr>
            <w:r>
              <w:rPr/>
              <w:t>根据投标人2021年1月1日至本项目截标时间止，提供的无线电通信技术设施运维服务业绩中，验收结果为“满意”或“合格”的，每提供1份得0.25分，满分1分。投标人应在投标文件中提供业主方盖章的相关服务保障认可证明材料复印件或扫描件，否则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1.为提升厦门市无线电监测覆盖，本项目拟在厦门北站附近建设一座固定监测站，满足《省级无线电监测技术设施建设规范和 技术要求（试行）》二类固定监测站标准，同时具备广播电视信号解调、数字对讲信号监测、数字集群信号监测、GSM-R 频段专项监测能力；固定监测站采用开放的接口，满足超短波监测管理一体化平台技术规范相关要求，支持接入省级无线电管理一体化平台。</w:t>
      </w:r>
    </w:p>
    <w:p>
      <w:pPr>
        <w:pStyle w:val="null3"/>
        <w:ind w:firstLine="480"/>
        <w:jc w:val="both"/>
      </w:pPr>
      <w:r>
        <w:rPr>
          <w:rFonts w:ascii="宋体" w:hAnsi="宋体" w:cs="宋体" w:eastAsia="宋体"/>
          <w:sz w:val="24"/>
        </w:rPr>
        <w:t>2.本项目的核心产品为：</w:t>
      </w:r>
      <w:r>
        <w:rPr>
          <w:rFonts w:ascii="宋体" w:hAnsi="宋体" w:cs="宋体" w:eastAsia="宋体"/>
          <w:sz w:val="24"/>
          <w:b/>
        </w:rPr>
        <w:t>监测接收机和测向接收机</w:t>
      </w:r>
      <w:r>
        <w:rPr>
          <w:rFonts w:ascii="宋体" w:hAnsi="宋体" w:cs="宋体" w:eastAsia="宋体"/>
          <w:sz w:val="24"/>
        </w:rPr>
        <w:t>。任意核心产品不同供应商所投产品品牌相同的，视为提供相同品牌产品，按招标文件第四章</w:t>
      </w:r>
      <w:r>
        <w:rPr>
          <w:rFonts w:ascii="宋体" w:hAnsi="宋体" w:cs="宋体" w:eastAsia="宋体"/>
          <w:sz w:val="24"/>
        </w:rPr>
        <w:t>6.4-（2）款规定评审。</w:t>
      </w:r>
    </w:p>
    <w:p>
      <w:pPr>
        <w:pStyle w:val="null3"/>
        <w:jc w:val="both"/>
        <w:outlineLvl w:val="2"/>
      </w:pPr>
      <w:r>
        <w:rPr>
          <w:sz w:val="28"/>
          <w:b/>
        </w:rPr>
        <w:t>二、技术和服务要求（以“★”标示的内容为不允许负偏离的实质性要求）</w:t>
      </w:r>
    </w:p>
    <w:p>
      <w:pPr>
        <w:pStyle w:val="null3"/>
        <w:ind w:firstLine="480"/>
        <w:jc w:val="both"/>
      </w:pPr>
      <w:r>
        <w:rPr>
          <w:rFonts w:ascii="宋体" w:hAnsi="宋体" w:cs="宋体" w:eastAsia="宋体"/>
          <w:sz w:val="24"/>
          <w:b/>
        </w:rPr>
        <w:t>（一）总体要求</w:t>
      </w:r>
    </w:p>
    <w:p>
      <w:pPr>
        <w:pStyle w:val="null3"/>
        <w:ind w:firstLine="480"/>
        <w:jc w:val="both"/>
      </w:pPr>
      <w:r>
        <w:rPr>
          <w:rFonts w:ascii="宋体" w:hAnsi="宋体" w:cs="宋体" w:eastAsia="宋体"/>
          <w:sz w:val="24"/>
        </w:rPr>
        <w:t>根据《省级无线电管理</w:t>
      </w:r>
      <w:r>
        <w:rPr>
          <w:rFonts w:ascii="宋体" w:hAnsi="宋体" w:cs="宋体" w:eastAsia="宋体"/>
          <w:sz w:val="24"/>
        </w:rPr>
        <w:t>“十四五”规划技术设施建设指导意见》，二类固定站总体能力要求如下：</w:t>
      </w:r>
    </w:p>
    <w:p>
      <w:pPr>
        <w:pStyle w:val="null3"/>
        <w:ind w:firstLine="480"/>
        <w:jc w:val="both"/>
      </w:pPr>
      <w:r>
        <w:rPr>
          <w:rFonts w:ascii="宋体" w:hAnsi="宋体" w:cs="宋体" w:eastAsia="宋体"/>
          <w:sz w:val="24"/>
        </w:rPr>
        <w:t>1.可实现20MHz～8GHz无线电监测以及30MHz～8GHz无线电测向功能，监测部分和测向部分物理组成上独立，监测测向可实时并行运行。</w:t>
      </w:r>
    </w:p>
    <w:p>
      <w:pPr>
        <w:pStyle w:val="null3"/>
        <w:ind w:firstLine="480"/>
        <w:jc w:val="both"/>
      </w:pPr>
      <w:r>
        <w:rPr>
          <w:rFonts w:ascii="宋体" w:hAnsi="宋体" w:cs="宋体" w:eastAsia="宋体"/>
          <w:sz w:val="24"/>
        </w:rPr>
        <w:t>2.监测测向实时中频带宽不低于40MHz，具备宽带信号、瞬时信号监测分析能力、具备同频多信号测向能力。</w:t>
      </w:r>
    </w:p>
    <w:p>
      <w:pPr>
        <w:pStyle w:val="null3"/>
        <w:ind w:firstLine="480"/>
        <w:jc w:val="both"/>
      </w:pPr>
      <w:r>
        <w:rPr>
          <w:rFonts w:ascii="宋体" w:hAnsi="宋体" w:cs="宋体" w:eastAsia="宋体"/>
          <w:sz w:val="24"/>
        </w:rPr>
        <w:t>3.具备数字信号专项监测能力。可实现对数字对讲/数字集群信号解调分析，支持DMR、NXDN、DPMR数字对讲标准通信协议解析；对PDT、TETRA协议解析，可实现语音解调。</w:t>
      </w:r>
    </w:p>
    <w:p>
      <w:pPr>
        <w:pStyle w:val="null3"/>
        <w:ind w:firstLine="480"/>
        <w:jc w:val="both"/>
      </w:pPr>
      <w:r>
        <w:rPr>
          <w:rFonts w:ascii="宋体" w:hAnsi="宋体" w:cs="宋体" w:eastAsia="宋体"/>
          <w:sz w:val="24"/>
        </w:rPr>
        <w:t>4.GSM-R监测，可实现对GSM-R上行频段（885MHz～889MHz）和下行频段（930MHz～934MHz）自动扫描监测，发现可能的干扰信号。</w:t>
      </w:r>
    </w:p>
    <w:p>
      <w:pPr>
        <w:pStyle w:val="null3"/>
        <w:ind w:firstLine="480"/>
        <w:jc w:val="both"/>
      </w:pPr>
      <w:r>
        <w:rPr>
          <w:rFonts w:ascii="宋体" w:hAnsi="宋体" w:cs="宋体" w:eastAsia="宋体"/>
          <w:sz w:val="24"/>
        </w:rPr>
        <w:t>5.具备防风、防潮、防盐雾和抗雷击等性能，能适应站点所在地的自然气候。</w:t>
      </w:r>
    </w:p>
    <w:p>
      <w:pPr>
        <w:pStyle w:val="null3"/>
        <w:ind w:firstLine="480"/>
        <w:jc w:val="both"/>
      </w:pPr>
      <w:r>
        <w:rPr>
          <w:rFonts w:ascii="宋体" w:hAnsi="宋体" w:cs="宋体" w:eastAsia="宋体"/>
          <w:sz w:val="24"/>
        </w:rPr>
        <w:t>6.无线电监测测向设备融合要求，固定监测站须按照《超短波监测管理一体化平台技术规范》、《超短波监测管理一体化平台技术规范 SOAP 报文结构补充说明》等要求进行设计，能够接入到上级监测控制中心，接受监测控制中心的控制，实现与其他站点的联合监测。同时，固定站具备接入省无线电管理一体化平台能力。</w:t>
      </w:r>
    </w:p>
    <w:p>
      <w:pPr>
        <w:pStyle w:val="null3"/>
        <w:ind w:firstLine="480"/>
        <w:jc w:val="both"/>
      </w:pPr>
      <w:r>
        <w:rPr>
          <w:rFonts w:ascii="宋体" w:hAnsi="宋体" w:cs="宋体" w:eastAsia="宋体"/>
          <w:sz w:val="24"/>
          <w:b/>
        </w:rPr>
        <w:t>（二）功能要求</w:t>
      </w:r>
    </w:p>
    <w:p>
      <w:pPr>
        <w:pStyle w:val="null3"/>
        <w:ind w:firstLine="480"/>
        <w:jc w:val="both"/>
      </w:pPr>
      <w:r>
        <w:rPr>
          <w:rFonts w:ascii="宋体" w:hAnsi="宋体" w:cs="宋体" w:eastAsia="宋体"/>
          <w:sz w:val="24"/>
          <w:b/>
        </w:rPr>
        <w:t>1. 基本监测功能</w:t>
      </w:r>
    </w:p>
    <w:p>
      <w:pPr>
        <w:pStyle w:val="null3"/>
        <w:ind w:firstLine="480"/>
        <w:jc w:val="both"/>
      </w:pPr>
      <w:r>
        <w:rPr>
          <w:rFonts w:ascii="宋体" w:hAnsi="宋体" w:cs="宋体" w:eastAsia="宋体"/>
          <w:sz w:val="24"/>
          <w:b/>
        </w:rPr>
        <w:t>1.1 固定频率监测</w:t>
      </w:r>
    </w:p>
    <w:p>
      <w:pPr>
        <w:pStyle w:val="null3"/>
        <w:ind w:firstLine="480"/>
        <w:jc w:val="both"/>
      </w:pPr>
      <w:r>
        <w:rPr>
          <w:rFonts w:ascii="宋体" w:hAnsi="宋体" w:cs="宋体" w:eastAsia="宋体"/>
          <w:sz w:val="24"/>
        </w:rPr>
        <w:t>①对指定频率的信号进行实时测量，包括频率测量、电平测量、场强和功率通量密度测量、占用带宽测量、调制测量、脉冲测量、频率使用率测量、无用发射测量、信号分析和发射机类别识别等。</w:t>
      </w:r>
      <w:r>
        <w:rPr>
          <w:rFonts w:ascii="宋体" w:hAnsi="宋体" w:cs="宋体" w:eastAsia="宋体"/>
          <w:sz w:val="24"/>
          <w:b/>
        </w:rPr>
        <w:t>（项</w:t>
      </w:r>
      <w:r>
        <w:rPr>
          <w:rFonts w:ascii="宋体" w:hAnsi="宋体" w:cs="宋体" w:eastAsia="宋体"/>
          <w:sz w:val="24"/>
          <w:b/>
        </w:rPr>
        <w:t>1）</w:t>
      </w:r>
    </w:p>
    <w:p>
      <w:pPr>
        <w:pStyle w:val="null3"/>
        <w:ind w:firstLine="480"/>
        <w:jc w:val="both"/>
      </w:pPr>
      <w:r>
        <w:rPr>
          <w:rFonts w:ascii="宋体" w:hAnsi="宋体" w:cs="宋体" w:eastAsia="宋体"/>
          <w:sz w:val="24"/>
        </w:rPr>
        <w:t>②可显示频谱包络线和柱状图，显示信号实时值、均值、最大值、最小值频谱，显示瀑布图及数字荧光谱。</w:t>
      </w:r>
      <w:r>
        <w:rPr>
          <w:rFonts w:ascii="宋体" w:hAnsi="宋体" w:cs="宋体" w:eastAsia="宋体"/>
          <w:sz w:val="24"/>
          <w:b/>
        </w:rPr>
        <w:t>（项</w:t>
      </w:r>
      <w:r>
        <w:rPr>
          <w:rFonts w:ascii="宋体" w:hAnsi="宋体" w:cs="宋体" w:eastAsia="宋体"/>
          <w:sz w:val="24"/>
          <w:b/>
        </w:rPr>
        <w:t>2）</w:t>
      </w:r>
    </w:p>
    <w:p>
      <w:pPr>
        <w:pStyle w:val="null3"/>
        <w:ind w:firstLine="480"/>
        <w:jc w:val="both"/>
      </w:pPr>
      <w:r>
        <w:rPr>
          <w:rFonts w:ascii="宋体" w:hAnsi="宋体" w:cs="宋体" w:eastAsia="宋体"/>
          <w:sz w:val="24"/>
        </w:rPr>
        <w:t>③测量的同时可存储信号IQ数据，存储时间可选；可进行信道占用度、信道幅度概率分布等数据统计。</w:t>
      </w:r>
      <w:r>
        <w:rPr>
          <w:rFonts w:ascii="宋体" w:hAnsi="宋体" w:cs="宋体" w:eastAsia="宋体"/>
          <w:sz w:val="24"/>
          <w:b/>
        </w:rPr>
        <w:t>（项</w:t>
      </w:r>
      <w:r>
        <w:rPr>
          <w:rFonts w:ascii="宋体" w:hAnsi="宋体" w:cs="宋体" w:eastAsia="宋体"/>
          <w:sz w:val="24"/>
          <w:b/>
        </w:rPr>
        <w:t>3）</w:t>
      </w:r>
    </w:p>
    <w:p>
      <w:pPr>
        <w:pStyle w:val="null3"/>
        <w:ind w:firstLine="480"/>
        <w:jc w:val="both"/>
      </w:pPr>
      <w:r>
        <w:rPr>
          <w:rFonts w:ascii="宋体" w:hAnsi="宋体" w:cs="宋体" w:eastAsia="宋体"/>
          <w:sz w:val="24"/>
          <w:b/>
        </w:rPr>
        <w:t>1.2 信号自动对比分析</w:t>
      </w:r>
    </w:p>
    <w:p>
      <w:pPr>
        <w:pStyle w:val="null3"/>
        <w:ind w:firstLine="480"/>
        <w:jc w:val="both"/>
      </w:pPr>
      <w:r>
        <w:rPr>
          <w:rFonts w:ascii="宋体" w:hAnsi="宋体" w:cs="宋体" w:eastAsia="宋体"/>
          <w:sz w:val="24"/>
        </w:rPr>
        <w:t>①在扫描过程中可自动进行背景噪声计算、信号提取，并与数据库进行比对，判别信号的属性，显示信号频率、截获次数、截获概率、首次截获时间、最新截获时间、信号幅度等信息。对识别出的信号可进行测量、测向、声音监听和录音等操作。</w:t>
      </w:r>
      <w:r>
        <w:rPr>
          <w:rFonts w:ascii="宋体" w:hAnsi="宋体" w:cs="宋体" w:eastAsia="宋体"/>
          <w:sz w:val="24"/>
          <w:b/>
        </w:rPr>
        <w:t>（项</w:t>
      </w:r>
      <w:r>
        <w:rPr>
          <w:rFonts w:ascii="宋体" w:hAnsi="宋体" w:cs="宋体" w:eastAsia="宋体"/>
          <w:sz w:val="24"/>
          <w:b/>
        </w:rPr>
        <w:t>4）</w:t>
      </w:r>
    </w:p>
    <w:p>
      <w:pPr>
        <w:pStyle w:val="null3"/>
        <w:ind w:firstLine="480"/>
        <w:jc w:val="both"/>
      </w:pPr>
      <w:r>
        <w:rPr>
          <w:rFonts w:ascii="宋体" w:hAnsi="宋体" w:cs="宋体" w:eastAsia="宋体"/>
          <w:sz w:val="24"/>
        </w:rPr>
        <w:t>②可在频谱上对任意频点进行信号类型（包括台站信号、非法信号、合法不明信号等）标注，并可设置信号带宽、调制方式、信号名称、信号所在地址等。</w:t>
      </w:r>
      <w:r>
        <w:rPr>
          <w:rFonts w:ascii="宋体" w:hAnsi="宋体" w:cs="宋体" w:eastAsia="宋体"/>
          <w:sz w:val="24"/>
          <w:b/>
        </w:rPr>
        <w:t>（项</w:t>
      </w:r>
      <w:r>
        <w:rPr>
          <w:rFonts w:ascii="宋体" w:hAnsi="宋体" w:cs="宋体" w:eastAsia="宋体"/>
          <w:sz w:val="24"/>
          <w:b/>
        </w:rPr>
        <w:t>5）</w:t>
      </w:r>
    </w:p>
    <w:p>
      <w:pPr>
        <w:pStyle w:val="null3"/>
        <w:ind w:firstLine="480"/>
        <w:jc w:val="both"/>
      </w:pPr>
      <w:r>
        <w:rPr>
          <w:rFonts w:ascii="宋体" w:hAnsi="宋体" w:cs="宋体" w:eastAsia="宋体"/>
          <w:sz w:val="24"/>
        </w:rPr>
        <w:t>③为便于查看和分析，可针对识别出的信号类型进行显示/不显示。</w:t>
      </w:r>
      <w:r>
        <w:rPr>
          <w:rFonts w:ascii="宋体" w:hAnsi="宋体" w:cs="宋体" w:eastAsia="宋体"/>
          <w:sz w:val="24"/>
          <w:b/>
        </w:rPr>
        <w:t>（项</w:t>
      </w:r>
      <w:r>
        <w:rPr>
          <w:rFonts w:ascii="宋体" w:hAnsi="宋体" w:cs="宋体" w:eastAsia="宋体"/>
          <w:sz w:val="24"/>
          <w:b/>
        </w:rPr>
        <w:t>6）</w:t>
      </w:r>
    </w:p>
    <w:p>
      <w:pPr>
        <w:pStyle w:val="null3"/>
        <w:ind w:firstLine="480"/>
        <w:jc w:val="both"/>
      </w:pPr>
      <w:r>
        <w:rPr>
          <w:rFonts w:ascii="宋体" w:hAnsi="宋体" w:cs="宋体" w:eastAsia="宋体"/>
          <w:sz w:val="24"/>
          <w:b/>
        </w:rPr>
        <w:t>1.3 电磁频谱背景自动对比分析</w:t>
      </w:r>
    </w:p>
    <w:p>
      <w:pPr>
        <w:pStyle w:val="null3"/>
        <w:ind w:firstLine="480"/>
        <w:jc w:val="both"/>
      </w:pPr>
      <w:r>
        <w:rPr>
          <w:rFonts w:ascii="宋体" w:hAnsi="宋体" w:cs="宋体" w:eastAsia="宋体"/>
          <w:sz w:val="24"/>
        </w:rPr>
        <w:t>①在扫描过程中可自动计算、生成电磁频谱背景信号样本并将其存入数据库中，在实际扫描监测过程中自动与其进行对比分析，实时发现新出现的信号，可对样本门限值进行统一修正。</w:t>
      </w:r>
      <w:r>
        <w:rPr>
          <w:rFonts w:ascii="宋体" w:hAnsi="宋体" w:cs="宋体" w:eastAsia="宋体"/>
          <w:sz w:val="24"/>
          <w:b/>
        </w:rPr>
        <w:t>（项</w:t>
      </w:r>
      <w:r>
        <w:rPr>
          <w:rFonts w:ascii="宋体" w:hAnsi="宋体" w:cs="宋体" w:eastAsia="宋体"/>
          <w:sz w:val="24"/>
          <w:b/>
        </w:rPr>
        <w:t>7）</w:t>
      </w:r>
    </w:p>
    <w:p>
      <w:pPr>
        <w:pStyle w:val="null3"/>
        <w:ind w:firstLine="480"/>
        <w:jc w:val="both"/>
      </w:pPr>
      <w:r>
        <w:rPr>
          <w:rFonts w:ascii="宋体" w:hAnsi="宋体" w:cs="宋体" w:eastAsia="宋体"/>
          <w:sz w:val="24"/>
        </w:rPr>
        <w:t>②可显示信号频率、截获次数、截获概率、首次截获时间、最新截获时间、信号幅度等信息。对识别出的信号可进行测量、测向、声音监听和录音等操作。</w:t>
      </w:r>
      <w:r>
        <w:rPr>
          <w:rFonts w:ascii="宋体" w:hAnsi="宋体" w:cs="宋体" w:eastAsia="宋体"/>
          <w:sz w:val="24"/>
          <w:b/>
        </w:rPr>
        <w:t>（项</w:t>
      </w:r>
      <w:r>
        <w:rPr>
          <w:rFonts w:ascii="宋体" w:hAnsi="宋体" w:cs="宋体" w:eastAsia="宋体"/>
          <w:sz w:val="24"/>
          <w:b/>
        </w:rPr>
        <w:t>8）</w:t>
      </w:r>
    </w:p>
    <w:p>
      <w:pPr>
        <w:pStyle w:val="null3"/>
        <w:ind w:firstLine="480"/>
        <w:jc w:val="both"/>
      </w:pPr>
      <w:r>
        <w:rPr>
          <w:rFonts w:ascii="宋体" w:hAnsi="宋体" w:cs="宋体" w:eastAsia="宋体"/>
          <w:sz w:val="24"/>
        </w:rPr>
        <w:t>③可在频谱上对任意频点进行信号类型（包括台站信号、非法信号、合法不明信号等）标注，并可设置信号带宽、调制方式、信号名称、信号所在地址等。</w:t>
      </w:r>
      <w:r>
        <w:rPr>
          <w:rFonts w:ascii="宋体" w:hAnsi="宋体" w:cs="宋体" w:eastAsia="宋体"/>
          <w:sz w:val="24"/>
          <w:b/>
        </w:rPr>
        <w:t>（项</w:t>
      </w:r>
      <w:r>
        <w:rPr>
          <w:rFonts w:ascii="宋体" w:hAnsi="宋体" w:cs="宋体" w:eastAsia="宋体"/>
          <w:sz w:val="24"/>
          <w:b/>
        </w:rPr>
        <w:t>9）</w:t>
      </w:r>
    </w:p>
    <w:p>
      <w:pPr>
        <w:pStyle w:val="null3"/>
        <w:ind w:firstLine="480"/>
        <w:jc w:val="both"/>
      </w:pPr>
      <w:r>
        <w:rPr>
          <w:rFonts w:ascii="宋体" w:hAnsi="宋体" w:cs="宋体" w:eastAsia="宋体"/>
          <w:sz w:val="24"/>
        </w:rPr>
        <w:t>④为便于查看和分析，可针对识别出的信号类型进行显示/不显示。</w:t>
      </w:r>
      <w:r>
        <w:rPr>
          <w:rFonts w:ascii="宋体" w:hAnsi="宋体" w:cs="宋体" w:eastAsia="宋体"/>
          <w:sz w:val="24"/>
          <w:b/>
        </w:rPr>
        <w:t>（项</w:t>
      </w:r>
      <w:r>
        <w:rPr>
          <w:rFonts w:ascii="宋体" w:hAnsi="宋体" w:cs="宋体" w:eastAsia="宋体"/>
          <w:sz w:val="24"/>
          <w:b/>
        </w:rPr>
        <w:t>10）</w:t>
      </w:r>
    </w:p>
    <w:p>
      <w:pPr>
        <w:pStyle w:val="null3"/>
        <w:ind w:firstLine="480"/>
        <w:jc w:val="both"/>
      </w:pPr>
      <w:r>
        <w:rPr>
          <w:rFonts w:ascii="宋体" w:hAnsi="宋体" w:cs="宋体" w:eastAsia="宋体"/>
          <w:sz w:val="24"/>
          <w:b/>
        </w:rPr>
        <w:t>2.电磁环境测量</w:t>
      </w:r>
    </w:p>
    <w:p>
      <w:pPr>
        <w:pStyle w:val="null3"/>
        <w:ind w:firstLine="480"/>
        <w:jc w:val="both"/>
      </w:pPr>
      <w:r>
        <w:rPr>
          <w:rFonts w:ascii="宋体" w:hAnsi="宋体" w:cs="宋体" w:eastAsia="宋体"/>
          <w:sz w:val="24"/>
          <w:b/>
        </w:rPr>
        <w:t>2.1 快速扫描监测</w:t>
      </w:r>
    </w:p>
    <w:p>
      <w:pPr>
        <w:pStyle w:val="null3"/>
        <w:ind w:firstLine="480"/>
        <w:jc w:val="both"/>
      </w:pPr>
      <w:r>
        <w:rPr>
          <w:rFonts w:ascii="宋体" w:hAnsi="宋体" w:cs="宋体" w:eastAsia="宋体"/>
          <w:sz w:val="24"/>
        </w:rPr>
        <w:t>①对频段范围内信号进行快速扫描监测，显示频谱包络线和柱状图，在扫描的同时实时测量各频率信号幅度，显示信号实时值、均值、最大值、最小值频谱，显示瀑布图。在频谱上可对需要监听频点进行监听操作。</w:t>
      </w:r>
      <w:r>
        <w:rPr>
          <w:rFonts w:ascii="宋体" w:hAnsi="宋体" w:cs="宋体" w:eastAsia="宋体"/>
          <w:sz w:val="24"/>
          <w:b/>
        </w:rPr>
        <w:t>（项</w:t>
      </w:r>
      <w:r>
        <w:rPr>
          <w:rFonts w:ascii="宋体" w:hAnsi="宋体" w:cs="宋体" w:eastAsia="宋体"/>
          <w:sz w:val="24"/>
          <w:b/>
        </w:rPr>
        <w:t>11）</w:t>
      </w:r>
    </w:p>
    <w:p>
      <w:pPr>
        <w:pStyle w:val="null3"/>
        <w:ind w:firstLine="480"/>
        <w:jc w:val="both"/>
      </w:pPr>
      <w:r>
        <w:rPr>
          <w:rFonts w:ascii="宋体" w:hAnsi="宋体" w:cs="宋体" w:eastAsia="宋体"/>
          <w:sz w:val="24"/>
        </w:rPr>
        <w:t>②可进行频段占用度统计。</w:t>
      </w:r>
      <w:r>
        <w:rPr>
          <w:rFonts w:ascii="宋体" w:hAnsi="宋体" w:cs="宋体" w:eastAsia="宋体"/>
          <w:sz w:val="24"/>
          <w:b/>
        </w:rPr>
        <w:t>（项</w:t>
      </w:r>
      <w:r>
        <w:rPr>
          <w:rFonts w:ascii="宋体" w:hAnsi="宋体" w:cs="宋体" w:eastAsia="宋体"/>
          <w:sz w:val="24"/>
          <w:b/>
        </w:rPr>
        <w:t>12）</w:t>
      </w:r>
    </w:p>
    <w:p>
      <w:pPr>
        <w:pStyle w:val="null3"/>
        <w:ind w:firstLine="480"/>
        <w:jc w:val="both"/>
      </w:pPr>
      <w:r>
        <w:rPr>
          <w:rFonts w:ascii="宋体" w:hAnsi="宋体" w:cs="宋体" w:eastAsia="宋体"/>
          <w:sz w:val="24"/>
          <w:b/>
        </w:rPr>
        <w:t>2.2 频段扫描监测</w:t>
      </w:r>
    </w:p>
    <w:p>
      <w:pPr>
        <w:pStyle w:val="null3"/>
        <w:ind w:firstLine="480"/>
        <w:jc w:val="both"/>
      </w:pPr>
      <w:r>
        <w:rPr>
          <w:rFonts w:ascii="宋体" w:hAnsi="宋体" w:cs="宋体" w:eastAsia="宋体"/>
          <w:sz w:val="24"/>
        </w:rPr>
        <w:t>①</w:t>
      </w:r>
      <w:r>
        <w:rPr>
          <w:rFonts w:ascii="宋体" w:hAnsi="宋体" w:cs="宋体" w:eastAsia="宋体"/>
          <w:sz w:val="24"/>
        </w:rPr>
        <w:t>对指定频段内信号按设定的参数进行扫描监测，设置的参数至少包括中频带宽、工作模式、衰减、静噪、有信号驻留时间和无信号停顿时间等。在扫描的同时可识别频段内的合法已知信号和非法未知信号。</w:t>
      </w:r>
      <w:r>
        <w:rPr>
          <w:rFonts w:ascii="宋体" w:hAnsi="宋体" w:cs="宋体" w:eastAsia="宋体"/>
          <w:sz w:val="24"/>
          <w:b/>
        </w:rPr>
        <w:t>（项</w:t>
      </w:r>
      <w:r>
        <w:rPr>
          <w:rFonts w:ascii="宋体" w:hAnsi="宋体" w:cs="宋体" w:eastAsia="宋体"/>
          <w:sz w:val="24"/>
          <w:b/>
        </w:rPr>
        <w:t>13）</w:t>
      </w:r>
    </w:p>
    <w:p>
      <w:pPr>
        <w:pStyle w:val="null3"/>
        <w:ind w:firstLine="480"/>
        <w:jc w:val="both"/>
      </w:pPr>
      <w:r>
        <w:rPr>
          <w:rFonts w:ascii="宋体" w:hAnsi="宋体" w:cs="宋体" w:eastAsia="宋体"/>
          <w:sz w:val="24"/>
        </w:rPr>
        <w:t>②</w:t>
      </w:r>
      <w:r>
        <w:rPr>
          <w:rFonts w:ascii="宋体" w:hAnsi="宋体" w:cs="宋体" w:eastAsia="宋体"/>
          <w:sz w:val="24"/>
        </w:rPr>
        <w:t>可显示频谱包络线和柱状图，显示信号实时值、均值、最大值、最小值频谱，显示瀑布图。在频谱上可对需要监听频点进行监听操作。</w:t>
      </w:r>
      <w:r>
        <w:rPr>
          <w:rFonts w:ascii="宋体" w:hAnsi="宋体" w:cs="宋体" w:eastAsia="宋体"/>
          <w:sz w:val="24"/>
          <w:b/>
        </w:rPr>
        <w:t>（项</w:t>
      </w:r>
      <w:r>
        <w:rPr>
          <w:rFonts w:ascii="宋体" w:hAnsi="宋体" w:cs="宋体" w:eastAsia="宋体"/>
          <w:sz w:val="24"/>
          <w:b/>
        </w:rPr>
        <w:t>14）</w:t>
      </w:r>
    </w:p>
    <w:p>
      <w:pPr>
        <w:pStyle w:val="null3"/>
        <w:ind w:firstLine="480"/>
        <w:jc w:val="both"/>
      </w:pPr>
      <w:r>
        <w:rPr>
          <w:rFonts w:ascii="宋体" w:hAnsi="宋体" w:cs="宋体" w:eastAsia="宋体"/>
          <w:sz w:val="24"/>
        </w:rPr>
        <w:t>③</w:t>
      </w:r>
      <w:r>
        <w:rPr>
          <w:rFonts w:ascii="宋体" w:hAnsi="宋体" w:cs="宋体" w:eastAsia="宋体"/>
          <w:sz w:val="24"/>
        </w:rPr>
        <w:t>可进行信道占用度和频段占用度统计。</w:t>
      </w:r>
      <w:r>
        <w:rPr>
          <w:rFonts w:ascii="宋体" w:hAnsi="宋体" w:cs="宋体" w:eastAsia="宋体"/>
          <w:sz w:val="24"/>
          <w:b/>
        </w:rPr>
        <w:t>可选择</w:t>
      </w:r>
      <w:r>
        <w:rPr>
          <w:rFonts w:ascii="宋体" w:hAnsi="宋体" w:cs="宋体" w:eastAsia="宋体"/>
          <w:sz w:val="24"/>
          <w:b/>
        </w:rPr>
        <w:t>dBuv、dBmv、dBm和dBw等进行显示。</w:t>
      </w:r>
      <w:r>
        <w:rPr>
          <w:rFonts w:ascii="宋体" w:hAnsi="宋体" w:cs="宋体" w:eastAsia="宋体"/>
          <w:sz w:val="24"/>
          <w:b/>
          <w:color w:val="0000FF"/>
          <w:u w:val="single"/>
        </w:rPr>
        <w:t>（项</w:t>
      </w:r>
      <w:r>
        <w:rPr>
          <w:rFonts w:ascii="宋体" w:hAnsi="宋体" w:cs="宋体" w:eastAsia="宋体"/>
          <w:sz w:val="24"/>
          <w:b/>
          <w:color w:val="0000FF"/>
          <w:u w:val="single"/>
        </w:rPr>
        <w:t>15）</w:t>
      </w:r>
    </w:p>
    <w:p>
      <w:pPr>
        <w:pStyle w:val="null3"/>
        <w:ind w:firstLine="480"/>
        <w:jc w:val="both"/>
      </w:pPr>
      <w:r>
        <w:rPr>
          <w:rFonts w:ascii="宋体" w:hAnsi="宋体" w:cs="宋体" w:eastAsia="宋体"/>
          <w:sz w:val="24"/>
          <w:b/>
        </w:rPr>
        <w:t>2.3 频表扫描离散监测</w:t>
      </w:r>
    </w:p>
    <w:p>
      <w:pPr>
        <w:pStyle w:val="null3"/>
        <w:ind w:firstLine="480"/>
        <w:jc w:val="both"/>
      </w:pPr>
      <w:r>
        <w:rPr>
          <w:rFonts w:ascii="宋体" w:hAnsi="宋体" w:cs="宋体" w:eastAsia="宋体"/>
          <w:sz w:val="24"/>
        </w:rPr>
        <w:t>①</w:t>
      </w:r>
      <w:r>
        <w:rPr>
          <w:rFonts w:ascii="宋体" w:hAnsi="宋体" w:cs="宋体" w:eastAsia="宋体"/>
          <w:sz w:val="24"/>
        </w:rPr>
        <w:t>对多个或一组频率按设定的参数进行扫描监测，设置的参数至少包括中频带宽、工作模式、衰减、静噪、有信号驻留时间和无信号停顿时间等。在频谱上可对需要监听频点进行监听操作。</w:t>
      </w:r>
      <w:r>
        <w:rPr>
          <w:rFonts w:ascii="宋体" w:hAnsi="宋体" w:cs="宋体" w:eastAsia="宋体"/>
          <w:sz w:val="24"/>
          <w:b/>
        </w:rPr>
        <w:t>（项</w:t>
      </w:r>
      <w:r>
        <w:rPr>
          <w:rFonts w:ascii="宋体" w:hAnsi="宋体" w:cs="宋体" w:eastAsia="宋体"/>
          <w:sz w:val="24"/>
          <w:b/>
        </w:rPr>
        <w:t>16）</w:t>
      </w:r>
    </w:p>
    <w:p>
      <w:pPr>
        <w:pStyle w:val="null3"/>
        <w:ind w:firstLine="480"/>
        <w:jc w:val="both"/>
      </w:pPr>
      <w:r>
        <w:rPr>
          <w:rFonts w:ascii="宋体" w:hAnsi="宋体" w:cs="宋体" w:eastAsia="宋体"/>
          <w:sz w:val="24"/>
        </w:rPr>
        <w:t>②</w:t>
      </w:r>
      <w:r>
        <w:rPr>
          <w:rFonts w:ascii="宋体" w:hAnsi="宋体" w:cs="宋体" w:eastAsia="宋体"/>
          <w:sz w:val="24"/>
        </w:rPr>
        <w:t>可显示信号实时值、均值、最大值、最小值频谱，显示瀑布图。</w:t>
      </w:r>
      <w:r>
        <w:rPr>
          <w:rFonts w:ascii="宋体" w:hAnsi="宋体" w:cs="宋体" w:eastAsia="宋体"/>
          <w:sz w:val="24"/>
          <w:b/>
        </w:rPr>
        <w:t>（项</w:t>
      </w:r>
      <w:r>
        <w:rPr>
          <w:rFonts w:ascii="宋体" w:hAnsi="宋体" w:cs="宋体" w:eastAsia="宋体"/>
          <w:sz w:val="24"/>
          <w:b/>
        </w:rPr>
        <w:t>17）</w:t>
      </w:r>
    </w:p>
    <w:p>
      <w:pPr>
        <w:pStyle w:val="null3"/>
        <w:ind w:firstLine="480"/>
        <w:jc w:val="both"/>
      </w:pPr>
      <w:r>
        <w:rPr>
          <w:rFonts w:ascii="宋体" w:hAnsi="宋体" w:cs="宋体" w:eastAsia="宋体"/>
          <w:sz w:val="24"/>
        </w:rPr>
        <w:t>③</w:t>
      </w:r>
      <w:r>
        <w:rPr>
          <w:rFonts w:ascii="宋体" w:hAnsi="宋体" w:cs="宋体" w:eastAsia="宋体"/>
          <w:sz w:val="24"/>
        </w:rPr>
        <w:t>可进行信道占用度和频段占用度统计。</w:t>
      </w:r>
      <w:r>
        <w:rPr>
          <w:rFonts w:ascii="宋体" w:hAnsi="宋体" w:cs="宋体" w:eastAsia="宋体"/>
          <w:sz w:val="24"/>
          <w:b/>
        </w:rPr>
        <w:t>可选择</w:t>
      </w:r>
      <w:r>
        <w:rPr>
          <w:rFonts w:ascii="宋体" w:hAnsi="宋体" w:cs="宋体" w:eastAsia="宋体"/>
          <w:sz w:val="24"/>
          <w:b/>
        </w:rPr>
        <w:t>dBuv、dBmv、dBm和dBw等进行显示。</w:t>
      </w:r>
      <w:r>
        <w:rPr>
          <w:rFonts w:ascii="宋体" w:hAnsi="宋体" w:cs="宋体" w:eastAsia="宋体"/>
          <w:sz w:val="24"/>
          <w:b/>
          <w:color w:val="0000FF"/>
          <w:u w:val="single"/>
        </w:rPr>
        <w:t>（项</w:t>
      </w:r>
      <w:r>
        <w:rPr>
          <w:rFonts w:ascii="宋体" w:hAnsi="宋体" w:cs="宋体" w:eastAsia="宋体"/>
          <w:sz w:val="24"/>
          <w:b/>
          <w:color w:val="0000FF"/>
          <w:u w:val="single"/>
        </w:rPr>
        <w:t>18）</w:t>
      </w:r>
    </w:p>
    <w:p>
      <w:pPr>
        <w:pStyle w:val="null3"/>
        <w:ind w:firstLine="480"/>
        <w:jc w:val="both"/>
      </w:pPr>
      <w:r>
        <w:rPr>
          <w:rFonts w:ascii="宋体" w:hAnsi="宋体" w:cs="宋体" w:eastAsia="宋体"/>
          <w:sz w:val="24"/>
          <w:b/>
        </w:rPr>
        <w:t>3.专项监测功能</w:t>
      </w:r>
    </w:p>
    <w:p>
      <w:pPr>
        <w:pStyle w:val="null3"/>
        <w:ind w:left="480"/>
        <w:jc w:val="both"/>
      </w:pPr>
      <w:r>
        <w:rPr>
          <w:rFonts w:ascii="宋体" w:hAnsi="宋体" w:cs="宋体" w:eastAsia="宋体"/>
          <w:sz w:val="24"/>
          <w:b/>
        </w:rPr>
        <w:t>3.1 广播电视及图像信号监测</w:t>
      </w:r>
    </w:p>
    <w:p>
      <w:pPr>
        <w:pStyle w:val="null3"/>
        <w:ind w:left="480"/>
        <w:jc w:val="both"/>
      </w:pPr>
      <w:r>
        <w:rPr>
          <w:rFonts w:ascii="宋体" w:hAnsi="宋体" w:cs="宋体" w:eastAsia="宋体"/>
          <w:sz w:val="24"/>
        </w:rPr>
        <w:t>①具备对广播电视声音及图像信号监测分析功能。可实现对模拟电视（PAL、SECAM、NTSC）、国标地面数字电视（DTMB）、欧标地面数字电视（DVB-T/DVB-T2）和美标数字电视（ATSC）的解调监视。</w:t>
      </w:r>
      <w:r>
        <w:rPr>
          <w:rFonts w:ascii="宋体" w:hAnsi="宋体" w:cs="宋体" w:eastAsia="宋体"/>
          <w:sz w:val="24"/>
          <w:b/>
        </w:rPr>
        <w:t>（项</w:t>
      </w:r>
      <w:r>
        <w:rPr>
          <w:rFonts w:ascii="宋体" w:hAnsi="宋体" w:cs="宋体" w:eastAsia="宋体"/>
          <w:sz w:val="24"/>
          <w:b/>
        </w:rPr>
        <w:t>19）</w:t>
      </w:r>
    </w:p>
    <w:p>
      <w:pPr>
        <w:pStyle w:val="null3"/>
        <w:ind w:left="480"/>
        <w:jc w:val="both"/>
      </w:pPr>
      <w:r>
        <w:rPr>
          <w:rFonts w:ascii="宋体" w:hAnsi="宋体" w:cs="宋体" w:eastAsia="宋体"/>
          <w:sz w:val="24"/>
          <w:b/>
        </w:rPr>
        <w:t>3.2 数字对讲/数字集群信号监测</w:t>
      </w:r>
    </w:p>
    <w:p>
      <w:pPr>
        <w:pStyle w:val="null3"/>
        <w:ind w:left="480"/>
        <w:jc w:val="both"/>
      </w:pPr>
      <w:r>
        <w:rPr>
          <w:rFonts w:ascii="宋体" w:hAnsi="宋体" w:cs="宋体" w:eastAsia="宋体"/>
          <w:sz w:val="24"/>
        </w:rPr>
        <w:t>①具备对数字对讲机信号和集群信号的监测能力，支持DMR、NXDN、DPMR数字对讲机的声音解调和短信解码。支持PDT、TETRA协议解析，可实现语音解调。</w:t>
      </w:r>
      <w:r>
        <w:rPr>
          <w:rFonts w:ascii="宋体" w:hAnsi="宋体" w:cs="宋体" w:eastAsia="宋体"/>
          <w:sz w:val="24"/>
          <w:b/>
        </w:rPr>
        <w:t>（项</w:t>
      </w:r>
      <w:r>
        <w:rPr>
          <w:rFonts w:ascii="宋体" w:hAnsi="宋体" w:cs="宋体" w:eastAsia="宋体"/>
          <w:sz w:val="24"/>
          <w:b/>
        </w:rPr>
        <w:t>20）</w:t>
      </w:r>
    </w:p>
    <w:p>
      <w:pPr>
        <w:pStyle w:val="null3"/>
        <w:ind w:left="480"/>
        <w:jc w:val="both"/>
      </w:pPr>
      <w:r>
        <w:rPr>
          <w:rFonts w:ascii="宋体" w:hAnsi="宋体" w:cs="宋体" w:eastAsia="宋体"/>
          <w:sz w:val="24"/>
          <w:b/>
        </w:rPr>
        <w:t>3.3 GSM-R监测</w:t>
      </w:r>
    </w:p>
    <w:p>
      <w:pPr>
        <w:pStyle w:val="null3"/>
        <w:ind w:firstLine="480"/>
        <w:jc w:val="both"/>
      </w:pPr>
      <w:r>
        <w:rPr>
          <w:rFonts w:ascii="宋体" w:hAnsi="宋体" w:cs="宋体" w:eastAsia="宋体"/>
          <w:sz w:val="24"/>
        </w:rPr>
        <w:t>①支持对GSM-R上下行频段信号并行实时监测，快速发现干扰信号。</w:t>
      </w:r>
      <w:r>
        <w:rPr>
          <w:rFonts w:ascii="宋体" w:hAnsi="宋体" w:cs="宋体" w:eastAsia="宋体"/>
          <w:sz w:val="24"/>
          <w:b/>
        </w:rPr>
        <w:t>（项</w:t>
      </w:r>
      <w:r>
        <w:rPr>
          <w:rFonts w:ascii="宋体" w:hAnsi="宋体" w:cs="宋体" w:eastAsia="宋体"/>
          <w:sz w:val="24"/>
          <w:b/>
        </w:rPr>
        <w:t>21）</w:t>
      </w:r>
    </w:p>
    <w:p>
      <w:pPr>
        <w:pStyle w:val="null3"/>
        <w:ind w:firstLine="480"/>
        <w:jc w:val="both"/>
      </w:pPr>
      <w:r>
        <w:rPr>
          <w:rFonts w:ascii="宋体" w:hAnsi="宋体" w:cs="宋体" w:eastAsia="宋体"/>
          <w:sz w:val="24"/>
        </w:rPr>
        <w:t>②可实时监测GSM-R下行频段BCCH信道所在载波在其调制频谱内的信号强度，记录信号异常，可多次测试形成模板，记录最大值、95%值、50%值、70%值、10%值，并统计方差。</w:t>
      </w:r>
      <w:r>
        <w:rPr>
          <w:rFonts w:ascii="宋体" w:hAnsi="宋体" w:cs="宋体" w:eastAsia="宋体"/>
          <w:sz w:val="24"/>
          <w:b/>
        </w:rPr>
        <w:t>（项</w:t>
      </w:r>
      <w:r>
        <w:rPr>
          <w:rFonts w:ascii="宋体" w:hAnsi="宋体" w:cs="宋体" w:eastAsia="宋体"/>
          <w:sz w:val="24"/>
          <w:b/>
        </w:rPr>
        <w:t>22）</w:t>
      </w:r>
    </w:p>
    <w:p>
      <w:pPr>
        <w:pStyle w:val="null3"/>
        <w:ind w:firstLine="480"/>
        <w:jc w:val="both"/>
      </w:pPr>
      <w:r>
        <w:rPr>
          <w:rFonts w:ascii="宋体" w:hAnsi="宋体" w:cs="宋体" w:eastAsia="宋体"/>
          <w:sz w:val="24"/>
        </w:rPr>
        <w:t>③可实时监测GSM-R下行频段TCH信道所在载波调制频谱内的信号强度，记录信号异常，可根据多次测试值形成模板，记录最大值、95%值、70%值、50%值、10%值，并统计方差。</w:t>
      </w:r>
      <w:r>
        <w:rPr>
          <w:rFonts w:ascii="宋体" w:hAnsi="宋体" w:cs="宋体" w:eastAsia="宋体"/>
          <w:sz w:val="24"/>
          <w:b/>
        </w:rPr>
        <w:t>（项</w:t>
      </w:r>
      <w:r>
        <w:rPr>
          <w:rFonts w:ascii="宋体" w:hAnsi="宋体" w:cs="宋体" w:eastAsia="宋体"/>
          <w:sz w:val="24"/>
          <w:b/>
        </w:rPr>
        <w:t>23）</w:t>
      </w:r>
    </w:p>
    <w:p>
      <w:pPr>
        <w:pStyle w:val="null3"/>
        <w:ind w:firstLine="480"/>
        <w:jc w:val="both"/>
      </w:pPr>
      <w:r>
        <w:rPr>
          <w:rFonts w:ascii="宋体" w:hAnsi="宋体" w:cs="宋体" w:eastAsia="宋体"/>
          <w:sz w:val="24"/>
          <w:b/>
        </w:rPr>
        <w:t>3.4 信号管制</w:t>
      </w:r>
    </w:p>
    <w:p>
      <w:pPr>
        <w:pStyle w:val="null3"/>
        <w:ind w:firstLine="480"/>
        <w:jc w:val="both"/>
      </w:pPr>
      <w:r>
        <w:rPr>
          <w:rFonts w:ascii="宋体" w:hAnsi="宋体" w:cs="宋体" w:eastAsia="宋体"/>
          <w:sz w:val="24"/>
        </w:rPr>
        <w:t>①具备多通道监测能力，支持自动发现和处理管制信号；</w:t>
      </w:r>
    </w:p>
    <w:p>
      <w:pPr>
        <w:pStyle w:val="null3"/>
        <w:ind w:firstLine="480"/>
        <w:jc w:val="both"/>
      </w:pPr>
      <w:r>
        <w:rPr>
          <w:rFonts w:ascii="宋体" w:hAnsi="宋体" w:cs="宋体" w:eastAsia="宋体"/>
          <w:sz w:val="24"/>
        </w:rPr>
        <w:t>②具备频谱、IQ数据录制功能；</w:t>
      </w:r>
    </w:p>
    <w:p>
      <w:pPr>
        <w:pStyle w:val="null3"/>
        <w:ind w:firstLine="480"/>
        <w:jc w:val="both"/>
      </w:pPr>
      <w:r>
        <w:rPr>
          <w:rFonts w:ascii="宋体" w:hAnsi="宋体" w:cs="宋体" w:eastAsia="宋体"/>
          <w:sz w:val="24"/>
        </w:rPr>
        <w:t>③具备任意频点数传信号解析，如：FM、2FSK、LoRa；</w:t>
      </w:r>
    </w:p>
    <w:p>
      <w:pPr>
        <w:pStyle w:val="null3"/>
        <w:ind w:firstLine="480"/>
        <w:jc w:val="both"/>
      </w:pPr>
      <w:r>
        <w:rPr>
          <w:rFonts w:ascii="宋体" w:hAnsi="宋体" w:cs="宋体" w:eastAsia="宋体"/>
          <w:sz w:val="24"/>
        </w:rPr>
        <w:t>④具备信号警示压制能力：支持数传信号的压制（信息删除和信息警示），支持模拟/数字对讲信号的压制（发送对应协议的警示语音）。</w:t>
      </w:r>
    </w:p>
    <w:p>
      <w:pPr>
        <w:pStyle w:val="null3"/>
        <w:ind w:firstLine="480"/>
        <w:jc w:val="both"/>
      </w:pPr>
      <w:r>
        <w:rPr>
          <w:rFonts w:ascii="宋体" w:hAnsi="宋体" w:cs="宋体" w:eastAsia="宋体"/>
          <w:sz w:val="24"/>
          <w:b/>
        </w:rPr>
        <w:t>4.信号识别分析</w:t>
      </w:r>
    </w:p>
    <w:p>
      <w:pPr>
        <w:pStyle w:val="null3"/>
        <w:ind w:firstLine="480"/>
        <w:jc w:val="both"/>
      </w:pPr>
      <w:r>
        <w:rPr>
          <w:rFonts w:ascii="宋体" w:hAnsi="宋体" w:cs="宋体" w:eastAsia="宋体"/>
          <w:sz w:val="24"/>
        </w:rPr>
        <w:t>①可识别信号调制模式，识别种类包括CW、AM、FM、ASK、BPSK、QPSK、8PSK、16QAM、2FSK、4FSK、MSK等。</w:t>
      </w:r>
      <w:r>
        <w:rPr>
          <w:rFonts w:ascii="宋体" w:hAnsi="宋体" w:cs="宋体" w:eastAsia="宋体"/>
          <w:sz w:val="24"/>
          <w:b/>
        </w:rPr>
        <w:t>（项</w:t>
      </w:r>
      <w:r>
        <w:rPr>
          <w:rFonts w:ascii="宋体" w:hAnsi="宋体" w:cs="宋体" w:eastAsia="宋体"/>
          <w:sz w:val="24"/>
          <w:b/>
        </w:rPr>
        <w:t>24）</w:t>
      </w:r>
    </w:p>
    <w:p>
      <w:pPr>
        <w:pStyle w:val="null3"/>
        <w:ind w:firstLine="480"/>
        <w:jc w:val="both"/>
      </w:pPr>
      <w:r>
        <w:rPr>
          <w:rFonts w:ascii="宋体" w:hAnsi="宋体" w:cs="宋体" w:eastAsia="宋体"/>
          <w:sz w:val="24"/>
        </w:rPr>
        <w:t>②支持多种分析手段：频谱包络图与柱状图、瀑布图、信号相位误差（流）图、矢量幅度误差（流）图、幅度误差（流）图、瞬时幅度图、瞬时频率图、瞬时相位图、IQ时域图、眼图、矢量图、码流图等。</w:t>
      </w:r>
      <w:r>
        <w:rPr>
          <w:rFonts w:ascii="宋体" w:hAnsi="宋体" w:cs="宋体" w:eastAsia="宋体"/>
          <w:sz w:val="24"/>
          <w:b/>
        </w:rPr>
        <w:t>（项</w:t>
      </w:r>
      <w:r>
        <w:rPr>
          <w:rFonts w:ascii="宋体" w:hAnsi="宋体" w:cs="宋体" w:eastAsia="宋体"/>
          <w:sz w:val="24"/>
          <w:b/>
        </w:rPr>
        <w:t>25）</w:t>
      </w:r>
    </w:p>
    <w:p>
      <w:pPr>
        <w:pStyle w:val="null3"/>
        <w:ind w:firstLine="480"/>
        <w:jc w:val="both"/>
      </w:pPr>
      <w:r>
        <w:rPr>
          <w:rFonts w:ascii="宋体" w:hAnsi="宋体" w:cs="宋体" w:eastAsia="宋体"/>
          <w:sz w:val="24"/>
        </w:rPr>
        <w:t>③跳频信号监测。</w:t>
      </w:r>
    </w:p>
    <w:p>
      <w:pPr>
        <w:pStyle w:val="null3"/>
        <w:ind w:firstLine="480"/>
        <w:jc w:val="both"/>
      </w:pPr>
      <w:r>
        <w:rPr>
          <w:rFonts w:ascii="宋体" w:hAnsi="宋体" w:cs="宋体" w:eastAsia="宋体"/>
          <w:sz w:val="24"/>
        </w:rPr>
        <w:t>④雷达脉冲信号监测。</w:t>
      </w:r>
    </w:p>
    <w:p>
      <w:pPr>
        <w:pStyle w:val="null3"/>
        <w:ind w:firstLine="480"/>
        <w:jc w:val="both"/>
      </w:pPr>
      <w:r>
        <w:rPr>
          <w:rFonts w:ascii="宋体" w:hAnsi="宋体" w:cs="宋体" w:eastAsia="宋体"/>
          <w:sz w:val="24"/>
          <w:b/>
        </w:rPr>
        <w:t>5.测向功能</w:t>
      </w:r>
    </w:p>
    <w:p>
      <w:pPr>
        <w:pStyle w:val="null3"/>
        <w:ind w:firstLine="482"/>
        <w:jc w:val="both"/>
      </w:pPr>
      <w:r>
        <w:rPr>
          <w:rFonts w:ascii="宋体" w:hAnsi="宋体" w:cs="宋体" w:eastAsia="宋体"/>
          <w:sz w:val="24"/>
          <w:b/>
        </w:rPr>
        <w:t>5.1 单频测向</w:t>
      </w:r>
    </w:p>
    <w:p>
      <w:pPr>
        <w:pStyle w:val="null3"/>
        <w:ind w:firstLine="480"/>
        <w:jc w:val="both"/>
      </w:pPr>
      <w:r>
        <w:rPr>
          <w:rFonts w:ascii="宋体" w:hAnsi="宋体" w:cs="宋体" w:eastAsia="宋体"/>
          <w:sz w:val="24"/>
        </w:rPr>
        <w:t>①可显示频谱包络线和柱状图，显示信号实时值、均值、最大值、最小值频谱，显示瀑布图。</w:t>
      </w:r>
      <w:r>
        <w:rPr>
          <w:rFonts w:ascii="宋体" w:hAnsi="宋体" w:cs="宋体" w:eastAsia="宋体"/>
          <w:sz w:val="24"/>
          <w:b/>
        </w:rPr>
        <w:t>（项</w:t>
      </w:r>
      <w:r>
        <w:rPr>
          <w:rFonts w:ascii="宋体" w:hAnsi="宋体" w:cs="宋体" w:eastAsia="宋体"/>
          <w:sz w:val="24"/>
          <w:b/>
        </w:rPr>
        <w:t>26）</w:t>
      </w:r>
    </w:p>
    <w:p>
      <w:pPr>
        <w:pStyle w:val="null3"/>
        <w:ind w:firstLine="480"/>
        <w:jc w:val="both"/>
      </w:pPr>
      <w:r>
        <w:rPr>
          <w:rFonts w:ascii="宋体" w:hAnsi="宋体" w:cs="宋体" w:eastAsia="宋体"/>
          <w:sz w:val="24"/>
        </w:rPr>
        <w:t>②可实现天线有源/无源的切换操作，满足对不同强度信号的测向。</w:t>
      </w:r>
      <w:r>
        <w:rPr>
          <w:rFonts w:ascii="宋体" w:hAnsi="宋体" w:cs="宋体" w:eastAsia="宋体"/>
          <w:sz w:val="24"/>
          <w:b/>
        </w:rPr>
        <w:t>（项</w:t>
      </w:r>
      <w:r>
        <w:rPr>
          <w:rFonts w:ascii="宋体" w:hAnsi="宋体" w:cs="宋体" w:eastAsia="宋体"/>
          <w:sz w:val="24"/>
          <w:b/>
        </w:rPr>
        <w:t>27）</w:t>
      </w:r>
    </w:p>
    <w:p>
      <w:pPr>
        <w:pStyle w:val="null3"/>
        <w:ind w:firstLine="480"/>
        <w:jc w:val="both"/>
      </w:pPr>
      <w:r>
        <w:rPr>
          <w:rFonts w:ascii="宋体" w:hAnsi="宋体" w:cs="宋体" w:eastAsia="宋体"/>
          <w:sz w:val="24"/>
        </w:rPr>
        <w:t>③可在电子地图上绘制示向线并显示信号实时强度和测向方位角。</w:t>
      </w:r>
      <w:r>
        <w:rPr>
          <w:rFonts w:ascii="宋体" w:hAnsi="宋体" w:cs="宋体" w:eastAsia="宋体"/>
          <w:sz w:val="24"/>
          <w:b/>
        </w:rPr>
        <w:t>（项</w:t>
      </w:r>
      <w:r>
        <w:rPr>
          <w:rFonts w:ascii="宋体" w:hAnsi="宋体" w:cs="宋体" w:eastAsia="宋体"/>
          <w:sz w:val="24"/>
          <w:b/>
        </w:rPr>
        <w:t>28）</w:t>
      </w:r>
    </w:p>
    <w:p>
      <w:pPr>
        <w:pStyle w:val="null3"/>
        <w:ind w:firstLine="480"/>
        <w:jc w:val="both"/>
      </w:pPr>
      <w:r>
        <w:rPr>
          <w:rFonts w:ascii="宋体" w:hAnsi="宋体" w:cs="宋体" w:eastAsia="宋体"/>
          <w:sz w:val="24"/>
          <w:b/>
        </w:rPr>
        <w:t>5.2 宽带测向功能</w:t>
      </w:r>
    </w:p>
    <w:p>
      <w:pPr>
        <w:pStyle w:val="null3"/>
        <w:ind w:firstLine="480"/>
        <w:jc w:val="both"/>
      </w:pPr>
      <w:r>
        <w:rPr>
          <w:rFonts w:ascii="宋体" w:hAnsi="宋体" w:cs="宋体" w:eastAsia="宋体"/>
          <w:sz w:val="24"/>
        </w:rPr>
        <w:t>①支持在中频带宽范围内，实现对大于测向门限的多个信号同时进行高速FFT测向，以列表方式显示测向结果，同时显示频谱图、瀑布图和累积方位图。</w:t>
      </w:r>
      <w:r>
        <w:rPr>
          <w:rFonts w:ascii="宋体" w:hAnsi="宋体" w:cs="宋体" w:eastAsia="宋体"/>
          <w:sz w:val="24"/>
          <w:b/>
        </w:rPr>
        <w:t>（项</w:t>
      </w:r>
      <w:r>
        <w:rPr>
          <w:rFonts w:ascii="宋体" w:hAnsi="宋体" w:cs="宋体" w:eastAsia="宋体"/>
          <w:sz w:val="24"/>
          <w:b/>
        </w:rPr>
        <w:t>29）</w:t>
      </w:r>
    </w:p>
    <w:p>
      <w:pPr>
        <w:pStyle w:val="null3"/>
        <w:ind w:firstLine="480"/>
        <w:jc w:val="both"/>
      </w:pPr>
      <w:r>
        <w:rPr>
          <w:rFonts w:ascii="宋体" w:hAnsi="宋体" w:cs="宋体" w:eastAsia="宋体"/>
          <w:sz w:val="24"/>
        </w:rPr>
        <w:t>②列表显示所有测向频点结果信息，包括频率、当前示向度、最优示向度、电平最大值、截获率等。</w:t>
      </w:r>
      <w:r>
        <w:rPr>
          <w:rFonts w:ascii="宋体" w:hAnsi="宋体" w:cs="宋体" w:eastAsia="宋体"/>
          <w:sz w:val="24"/>
          <w:b/>
        </w:rPr>
        <w:t>（项</w:t>
      </w:r>
      <w:r>
        <w:rPr>
          <w:rFonts w:ascii="宋体" w:hAnsi="宋体" w:cs="宋体" w:eastAsia="宋体"/>
          <w:sz w:val="24"/>
          <w:b/>
        </w:rPr>
        <w:t>30）</w:t>
      </w:r>
    </w:p>
    <w:p>
      <w:pPr>
        <w:pStyle w:val="null3"/>
        <w:ind w:firstLine="480"/>
        <w:jc w:val="both"/>
      </w:pPr>
      <w:r>
        <w:rPr>
          <w:rFonts w:ascii="宋体" w:hAnsi="宋体" w:cs="宋体" w:eastAsia="宋体"/>
          <w:sz w:val="24"/>
          <w:b/>
        </w:rPr>
        <w:t>5.3 频段测向功能</w:t>
      </w:r>
    </w:p>
    <w:p>
      <w:pPr>
        <w:pStyle w:val="null3"/>
        <w:ind w:firstLine="480"/>
        <w:jc w:val="both"/>
      </w:pPr>
      <w:r>
        <w:rPr>
          <w:rFonts w:ascii="宋体" w:hAnsi="宋体" w:cs="宋体" w:eastAsia="宋体"/>
          <w:sz w:val="24"/>
        </w:rPr>
        <w:t>①</w:t>
      </w:r>
      <w:r>
        <w:rPr>
          <w:rFonts w:ascii="宋体" w:hAnsi="宋体" w:cs="宋体" w:eastAsia="宋体"/>
          <w:sz w:val="24"/>
        </w:rPr>
        <w:t>对频段内大于设定门限的信号依次进行测向，给出被测信号的测向结果，同时显示频谱图、瀑布图。</w:t>
      </w:r>
      <w:r>
        <w:rPr>
          <w:rFonts w:ascii="宋体" w:hAnsi="宋体" w:cs="宋体" w:eastAsia="宋体"/>
          <w:sz w:val="24"/>
          <w:b/>
        </w:rPr>
        <w:t>（项</w:t>
      </w:r>
      <w:r>
        <w:rPr>
          <w:rFonts w:ascii="宋体" w:hAnsi="宋体" w:cs="宋体" w:eastAsia="宋体"/>
          <w:sz w:val="24"/>
          <w:b/>
        </w:rPr>
        <w:t>31）</w:t>
      </w:r>
    </w:p>
    <w:p>
      <w:pPr>
        <w:pStyle w:val="null3"/>
        <w:ind w:firstLine="480"/>
        <w:jc w:val="both"/>
      </w:pPr>
      <w:r>
        <w:rPr>
          <w:rFonts w:ascii="宋体" w:hAnsi="宋体" w:cs="宋体" w:eastAsia="宋体"/>
          <w:sz w:val="24"/>
        </w:rPr>
        <w:t>②</w:t>
      </w:r>
      <w:r>
        <w:rPr>
          <w:rFonts w:ascii="宋体" w:hAnsi="宋体" w:cs="宋体" w:eastAsia="宋体"/>
          <w:sz w:val="24"/>
        </w:rPr>
        <w:t>列表显示所有测向频点结果信息，包括频率、当前示向度、最优示向度、测向质量、截获率、信号强度等。</w:t>
      </w:r>
      <w:r>
        <w:rPr>
          <w:rFonts w:ascii="宋体" w:hAnsi="宋体" w:cs="宋体" w:eastAsia="宋体"/>
          <w:sz w:val="24"/>
          <w:b/>
        </w:rPr>
        <w:t>（项</w:t>
      </w:r>
      <w:r>
        <w:rPr>
          <w:rFonts w:ascii="宋体" w:hAnsi="宋体" w:cs="宋体" w:eastAsia="宋体"/>
          <w:sz w:val="24"/>
          <w:b/>
        </w:rPr>
        <w:t>32）</w:t>
      </w:r>
    </w:p>
    <w:p>
      <w:pPr>
        <w:pStyle w:val="null3"/>
        <w:ind w:firstLine="480"/>
        <w:jc w:val="both"/>
      </w:pPr>
      <w:r>
        <w:rPr>
          <w:rFonts w:ascii="宋体" w:hAnsi="宋体" w:cs="宋体" w:eastAsia="宋体"/>
          <w:sz w:val="24"/>
          <w:b/>
        </w:rPr>
        <w:t>6.监测数据统计分析</w:t>
      </w:r>
    </w:p>
    <w:p>
      <w:pPr>
        <w:pStyle w:val="null3"/>
        <w:ind w:firstLine="480"/>
        <w:jc w:val="both"/>
      </w:pPr>
      <w:r>
        <w:rPr>
          <w:rFonts w:ascii="宋体" w:hAnsi="宋体" w:cs="宋体" w:eastAsia="宋体"/>
          <w:sz w:val="24"/>
          <w:b/>
        </w:rPr>
        <w:t>6.1 监测数据存储</w:t>
      </w:r>
    </w:p>
    <w:p>
      <w:pPr>
        <w:pStyle w:val="null3"/>
        <w:ind w:firstLine="480"/>
        <w:jc w:val="both"/>
      </w:pPr>
      <w:r>
        <w:rPr>
          <w:rFonts w:ascii="宋体" w:hAnsi="宋体" w:cs="宋体" w:eastAsia="宋体"/>
          <w:sz w:val="24"/>
        </w:rPr>
        <w:t>①监测数据照国家统一的格式和协议在本地进行存储，具备至少10TB、7天本地存储能力。</w:t>
      </w:r>
      <w:r>
        <w:rPr>
          <w:rFonts w:ascii="宋体" w:hAnsi="宋体" w:cs="宋体" w:eastAsia="宋体"/>
          <w:sz w:val="24"/>
          <w:b/>
        </w:rPr>
        <w:t>（项</w:t>
      </w:r>
      <w:r>
        <w:rPr>
          <w:rFonts w:ascii="宋体" w:hAnsi="宋体" w:cs="宋体" w:eastAsia="宋体"/>
          <w:sz w:val="24"/>
          <w:b/>
        </w:rPr>
        <w:t>33）</w:t>
      </w:r>
    </w:p>
    <w:p>
      <w:pPr>
        <w:pStyle w:val="null3"/>
        <w:ind w:firstLine="480"/>
        <w:jc w:val="both"/>
      </w:pPr>
      <w:r>
        <w:rPr>
          <w:rFonts w:ascii="宋体" w:hAnsi="宋体" w:cs="宋体" w:eastAsia="宋体"/>
          <w:sz w:val="24"/>
          <w:b/>
        </w:rPr>
        <w:t xml:space="preserve">6.2 </w:t>
      </w:r>
      <w:r>
        <w:rPr>
          <w:rFonts w:ascii="宋体" w:hAnsi="宋体" w:cs="宋体" w:eastAsia="宋体"/>
          <w:sz w:val="24"/>
          <w:b/>
        </w:rPr>
        <w:t>监测数据统计分析</w:t>
      </w:r>
    </w:p>
    <w:p>
      <w:pPr>
        <w:pStyle w:val="null3"/>
        <w:ind w:firstLine="480"/>
        <w:jc w:val="both"/>
      </w:pPr>
      <w:r>
        <w:rPr>
          <w:rFonts w:ascii="宋体" w:hAnsi="宋体" w:cs="宋体" w:eastAsia="宋体"/>
          <w:sz w:val="24"/>
        </w:rPr>
        <w:t>①可根据监测任务需要生成符合相关技术规范的占用度数据及占用度报表，如信道占用度、频段占用度、监测日报表和监测月报表等。</w:t>
      </w:r>
      <w:r>
        <w:rPr>
          <w:rFonts w:ascii="宋体" w:hAnsi="宋体" w:cs="宋体" w:eastAsia="宋体"/>
          <w:sz w:val="24"/>
          <w:b/>
        </w:rPr>
        <w:t>（项</w:t>
      </w:r>
      <w:r>
        <w:rPr>
          <w:rFonts w:ascii="宋体" w:hAnsi="宋体" w:cs="宋体" w:eastAsia="宋体"/>
          <w:sz w:val="24"/>
          <w:b/>
        </w:rPr>
        <w:t>34）</w:t>
      </w:r>
    </w:p>
    <w:p>
      <w:pPr>
        <w:pStyle w:val="null3"/>
        <w:ind w:firstLine="480"/>
        <w:jc w:val="both"/>
      </w:pPr>
      <w:r>
        <w:rPr>
          <w:rFonts w:ascii="宋体" w:hAnsi="宋体" w:cs="宋体" w:eastAsia="宋体"/>
          <w:sz w:val="24"/>
          <w:b/>
        </w:rPr>
        <w:t>6.3 数据库管理</w:t>
      </w:r>
    </w:p>
    <w:p>
      <w:pPr>
        <w:pStyle w:val="null3"/>
        <w:ind w:firstLine="480"/>
        <w:jc w:val="both"/>
      </w:pPr>
      <w:r>
        <w:rPr>
          <w:rFonts w:ascii="宋体" w:hAnsi="宋体" w:cs="宋体" w:eastAsia="宋体"/>
          <w:sz w:val="24"/>
        </w:rPr>
        <w:t>①系统建立有台站数据库、频率数据库等。台站数据库符合国家相关标准，支持台站数据的导入、导出。</w:t>
      </w:r>
      <w:r>
        <w:rPr>
          <w:rFonts w:ascii="宋体" w:hAnsi="宋体" w:cs="宋体" w:eastAsia="宋体"/>
          <w:sz w:val="24"/>
          <w:b/>
        </w:rPr>
        <w:t>（项</w:t>
      </w:r>
      <w:r>
        <w:rPr>
          <w:rFonts w:ascii="宋体" w:hAnsi="宋体" w:cs="宋体" w:eastAsia="宋体"/>
          <w:sz w:val="24"/>
          <w:b/>
        </w:rPr>
        <w:t>35）</w:t>
      </w:r>
    </w:p>
    <w:p>
      <w:pPr>
        <w:pStyle w:val="null3"/>
        <w:ind w:firstLine="480"/>
        <w:jc w:val="both"/>
      </w:pPr>
      <w:r>
        <w:rPr>
          <w:rFonts w:ascii="宋体" w:hAnsi="宋体" w:cs="宋体" w:eastAsia="宋体"/>
          <w:sz w:val="24"/>
          <w:b/>
        </w:rPr>
        <w:t>6.4 可指配频率分析</w:t>
      </w:r>
    </w:p>
    <w:p>
      <w:pPr>
        <w:pStyle w:val="null3"/>
        <w:ind w:firstLine="480"/>
        <w:jc w:val="both"/>
      </w:pPr>
      <w:r>
        <w:rPr>
          <w:rFonts w:ascii="宋体" w:hAnsi="宋体" w:cs="宋体" w:eastAsia="宋体"/>
          <w:sz w:val="24"/>
        </w:rPr>
        <w:t>①通过对频率占用情况的分析，得出用于指配的频率。</w:t>
      </w:r>
      <w:r>
        <w:rPr>
          <w:rFonts w:ascii="宋体" w:hAnsi="宋体" w:cs="宋体" w:eastAsia="宋体"/>
          <w:sz w:val="24"/>
          <w:b/>
        </w:rPr>
        <w:t>（项</w:t>
      </w:r>
      <w:r>
        <w:rPr>
          <w:rFonts w:ascii="宋体" w:hAnsi="宋体" w:cs="宋体" w:eastAsia="宋体"/>
          <w:sz w:val="24"/>
          <w:b/>
        </w:rPr>
        <w:t>36）</w:t>
      </w:r>
    </w:p>
    <w:p>
      <w:pPr>
        <w:pStyle w:val="null3"/>
        <w:ind w:firstLine="480"/>
        <w:jc w:val="both"/>
      </w:pPr>
      <w:r>
        <w:rPr>
          <w:rFonts w:ascii="宋体" w:hAnsi="宋体" w:cs="宋体" w:eastAsia="宋体"/>
          <w:sz w:val="24"/>
          <w:b/>
        </w:rPr>
        <w:t>6.5 互调干扰分析</w:t>
      </w:r>
    </w:p>
    <w:p>
      <w:pPr>
        <w:pStyle w:val="null3"/>
        <w:ind w:firstLine="480"/>
        <w:jc w:val="both"/>
      </w:pPr>
      <w:r>
        <w:rPr>
          <w:rFonts w:ascii="宋体" w:hAnsi="宋体" w:cs="宋体" w:eastAsia="宋体"/>
          <w:sz w:val="24"/>
        </w:rPr>
        <w:t>①通过选定的分析模式，系统可进行在线多阶交、互调干扰分析并进行相关性的扫描识别，产生干扰分析结果。</w:t>
      </w:r>
      <w:r>
        <w:rPr>
          <w:rFonts w:ascii="宋体" w:hAnsi="宋体" w:cs="宋体" w:eastAsia="宋体"/>
          <w:sz w:val="24"/>
          <w:b/>
        </w:rPr>
        <w:t>（项</w:t>
      </w:r>
      <w:r>
        <w:rPr>
          <w:rFonts w:ascii="宋体" w:hAnsi="宋体" w:cs="宋体" w:eastAsia="宋体"/>
          <w:sz w:val="24"/>
          <w:b/>
        </w:rPr>
        <w:t>37）</w:t>
      </w:r>
    </w:p>
    <w:p>
      <w:pPr>
        <w:pStyle w:val="null3"/>
        <w:ind w:firstLine="480"/>
        <w:jc w:val="both"/>
      </w:pPr>
      <w:r>
        <w:rPr>
          <w:rFonts w:ascii="宋体" w:hAnsi="宋体" w:cs="宋体" w:eastAsia="宋体"/>
          <w:sz w:val="24"/>
          <w:b/>
        </w:rPr>
        <w:t>7.实时多任务</w:t>
      </w:r>
    </w:p>
    <w:p>
      <w:pPr>
        <w:pStyle w:val="null3"/>
        <w:ind w:firstLine="480"/>
        <w:jc w:val="both"/>
      </w:pPr>
      <w:r>
        <w:rPr>
          <w:rFonts w:ascii="宋体" w:hAnsi="宋体" w:cs="宋体" w:eastAsia="宋体"/>
          <w:sz w:val="24"/>
        </w:rPr>
        <w:t>①能处理多个计划任务。</w:t>
      </w:r>
    </w:p>
    <w:p>
      <w:pPr>
        <w:pStyle w:val="null3"/>
        <w:ind w:firstLine="480"/>
        <w:jc w:val="both"/>
      </w:pPr>
      <w:r>
        <w:rPr>
          <w:rFonts w:ascii="宋体" w:hAnsi="宋体" w:cs="宋体" w:eastAsia="宋体"/>
          <w:sz w:val="24"/>
          <w:b/>
        </w:rPr>
        <w:t>8.系统遥控和联网</w:t>
      </w:r>
    </w:p>
    <w:p>
      <w:pPr>
        <w:pStyle w:val="null3"/>
        <w:ind w:firstLine="480"/>
        <w:jc w:val="both"/>
      </w:pPr>
      <w:r>
        <w:rPr>
          <w:rFonts w:ascii="宋体" w:hAnsi="宋体" w:cs="宋体" w:eastAsia="宋体"/>
          <w:sz w:val="24"/>
        </w:rPr>
        <w:t>①支持通过网络远程控制监测站设备的开关机。可监测机房环境，包括视频图像、烟雾、门窗启闭、电压和温湿度，环境异常时可进行告警。</w:t>
      </w:r>
      <w:r>
        <w:rPr>
          <w:rFonts w:ascii="宋体" w:hAnsi="宋体" w:cs="宋体" w:eastAsia="宋体"/>
          <w:sz w:val="24"/>
          <w:b/>
        </w:rPr>
        <w:t>（项</w:t>
      </w:r>
      <w:r>
        <w:rPr>
          <w:rFonts w:ascii="宋体" w:hAnsi="宋体" w:cs="宋体" w:eastAsia="宋体"/>
          <w:sz w:val="24"/>
          <w:b/>
        </w:rPr>
        <w:t>38）</w:t>
      </w:r>
    </w:p>
    <w:p>
      <w:pPr>
        <w:pStyle w:val="null3"/>
        <w:ind w:firstLine="480"/>
        <w:jc w:val="both"/>
      </w:pPr>
      <w:r>
        <w:rPr>
          <w:rFonts w:ascii="宋体" w:hAnsi="宋体" w:cs="宋体" w:eastAsia="宋体"/>
          <w:sz w:val="24"/>
        </w:rPr>
        <w:t>②监测站须按照《超短波监测管理一体化平台技术规范》、《超短波监测管理一体化平台技术规范 SOAP 报文结构补充说明》等要求进行设计，能够接入到上级监测控制中心，接受监测控制中心的控制，实现与其他站点的联合监测。同时，固定站具备接入省无线电管理一体化平台能力。</w:t>
      </w:r>
      <w:r>
        <w:rPr>
          <w:rFonts w:ascii="宋体" w:hAnsi="宋体" w:cs="宋体" w:eastAsia="宋体"/>
          <w:sz w:val="24"/>
          <w:b/>
        </w:rPr>
        <w:t>（项</w:t>
      </w:r>
      <w:r>
        <w:rPr>
          <w:rFonts w:ascii="宋体" w:hAnsi="宋体" w:cs="宋体" w:eastAsia="宋体"/>
          <w:sz w:val="24"/>
          <w:b/>
        </w:rPr>
        <w:t>39）</w:t>
      </w:r>
    </w:p>
    <w:p>
      <w:pPr>
        <w:pStyle w:val="null3"/>
        <w:ind w:firstLine="480"/>
        <w:jc w:val="both"/>
      </w:pPr>
      <w:r>
        <w:rPr>
          <w:rFonts w:ascii="宋体" w:hAnsi="宋体" w:cs="宋体" w:eastAsia="宋体"/>
          <w:sz w:val="24"/>
          <w:b/>
        </w:rPr>
        <w:t>9.系统自检</w:t>
      </w:r>
    </w:p>
    <w:p>
      <w:pPr>
        <w:pStyle w:val="null3"/>
        <w:ind w:firstLine="480"/>
        <w:jc w:val="both"/>
      </w:pPr>
      <w:r>
        <w:rPr>
          <w:rFonts w:ascii="宋体" w:hAnsi="宋体" w:cs="宋体" w:eastAsia="宋体"/>
          <w:sz w:val="24"/>
        </w:rPr>
        <w:t>①支持对系统中核心设备进行自检，显示自检结果。</w:t>
      </w:r>
      <w:r>
        <w:rPr>
          <w:rFonts w:ascii="宋体" w:hAnsi="宋体" w:cs="宋体" w:eastAsia="宋体"/>
          <w:sz w:val="24"/>
          <w:b/>
        </w:rPr>
        <w:t>（项</w:t>
      </w:r>
      <w:r>
        <w:rPr>
          <w:rFonts w:ascii="宋体" w:hAnsi="宋体" w:cs="宋体" w:eastAsia="宋体"/>
          <w:sz w:val="24"/>
          <w:b/>
        </w:rPr>
        <w:t>40）</w:t>
      </w:r>
    </w:p>
    <w:p>
      <w:pPr>
        <w:pStyle w:val="null3"/>
        <w:ind w:firstLine="480"/>
        <w:jc w:val="both"/>
      </w:pPr>
      <w:r>
        <w:rPr>
          <w:rFonts w:ascii="宋体" w:hAnsi="宋体" w:cs="宋体" w:eastAsia="宋体"/>
          <w:sz w:val="24"/>
          <w:b/>
        </w:rPr>
        <w:t>10.其中重要技术服务要求</w:t>
      </w:r>
    </w:p>
    <w:p>
      <w:pPr>
        <w:pStyle w:val="null3"/>
        <w:ind w:firstLine="480"/>
        <w:jc w:val="both"/>
      </w:pPr>
      <w:r>
        <w:rPr>
          <w:rFonts w:ascii="宋体" w:hAnsi="宋体" w:cs="宋体" w:eastAsia="宋体"/>
          <w:sz w:val="24"/>
        </w:rPr>
        <w:t>▲①可记录偶发信号监测数据、出现时间，回放能快速定位信号出现时间的频谱。</w:t>
      </w:r>
      <w:r>
        <w:rPr>
          <w:rFonts w:ascii="宋体" w:hAnsi="宋体" w:cs="宋体" w:eastAsia="宋体"/>
          <w:sz w:val="24"/>
          <w:b/>
        </w:rPr>
        <w:t>（项</w:t>
      </w:r>
      <w:r>
        <w:rPr>
          <w:rFonts w:ascii="宋体" w:hAnsi="宋体" w:cs="宋体" w:eastAsia="宋体"/>
          <w:sz w:val="24"/>
          <w:b/>
        </w:rPr>
        <w:t>41）</w:t>
      </w:r>
    </w:p>
    <w:p>
      <w:pPr>
        <w:pStyle w:val="null3"/>
        <w:ind w:firstLine="480"/>
        <w:jc w:val="both"/>
      </w:pPr>
      <w:r>
        <w:rPr>
          <w:rFonts w:ascii="宋体" w:hAnsi="宋体" w:cs="宋体" w:eastAsia="宋体"/>
          <w:sz w:val="24"/>
        </w:rPr>
        <w:t>▲②支持对跳频或短时信号进行捕获和分析，并输出频率集、跳速等测量结果。</w:t>
      </w:r>
      <w:r>
        <w:rPr>
          <w:rFonts w:ascii="宋体" w:hAnsi="宋体" w:cs="宋体" w:eastAsia="宋体"/>
          <w:sz w:val="24"/>
          <w:b/>
        </w:rPr>
        <w:t>（项</w:t>
      </w:r>
      <w:r>
        <w:rPr>
          <w:rFonts w:ascii="宋体" w:hAnsi="宋体" w:cs="宋体" w:eastAsia="宋体"/>
          <w:sz w:val="24"/>
          <w:b/>
        </w:rPr>
        <w:t>42）</w:t>
      </w:r>
    </w:p>
    <w:p>
      <w:pPr>
        <w:pStyle w:val="null3"/>
        <w:ind w:firstLine="480"/>
        <w:jc w:val="both"/>
      </w:pPr>
      <w:r>
        <w:rPr>
          <w:rFonts w:ascii="宋体" w:hAnsi="宋体" w:cs="宋体" w:eastAsia="宋体"/>
          <w:sz w:val="24"/>
        </w:rPr>
        <w:t>▲③支持对雷达脉冲信号参数测量，并输出载频、脉冲重复频率、脉宽、场强等参数。</w:t>
      </w:r>
      <w:r>
        <w:rPr>
          <w:rFonts w:ascii="宋体" w:hAnsi="宋体" w:cs="宋体" w:eastAsia="宋体"/>
          <w:sz w:val="24"/>
          <w:b/>
        </w:rPr>
        <w:t>（项</w:t>
      </w:r>
      <w:r>
        <w:rPr>
          <w:rFonts w:ascii="宋体" w:hAnsi="宋体" w:cs="宋体" w:eastAsia="宋体"/>
          <w:sz w:val="24"/>
          <w:b/>
        </w:rPr>
        <w:t>43）</w:t>
      </w:r>
    </w:p>
    <w:p>
      <w:pPr>
        <w:pStyle w:val="null3"/>
        <w:ind w:firstLine="480"/>
        <w:jc w:val="both"/>
      </w:pPr>
      <w:r>
        <w:rPr>
          <w:rFonts w:ascii="宋体" w:hAnsi="宋体" w:cs="宋体" w:eastAsia="宋体"/>
          <w:sz w:val="24"/>
        </w:rPr>
        <w:t>▲④可对某个已知信号进行测向操作，设置频率、带宽、积分时间、衰减、门限等参数，显示实时示向度、示向度概率统计、示向质量、实时电平、电平曲线，同时观察它的中频频谱和幅度－时间图形。并统计在测量时间内的示向度概率值。可以实现垂直／水平极化的单频点测向。</w:t>
      </w:r>
      <w:r>
        <w:rPr>
          <w:rFonts w:ascii="宋体" w:hAnsi="宋体" w:cs="宋体" w:eastAsia="宋体"/>
          <w:sz w:val="24"/>
          <w:b/>
        </w:rPr>
        <w:t>（项</w:t>
      </w:r>
      <w:r>
        <w:rPr>
          <w:rFonts w:ascii="宋体" w:hAnsi="宋体" w:cs="宋体" w:eastAsia="宋体"/>
          <w:sz w:val="24"/>
          <w:b/>
        </w:rPr>
        <w:t>44）</w:t>
      </w:r>
    </w:p>
    <w:p>
      <w:pPr>
        <w:pStyle w:val="null3"/>
        <w:ind w:firstLine="480"/>
        <w:jc w:val="both"/>
      </w:pPr>
      <w:r>
        <w:rPr>
          <w:rFonts w:ascii="宋体" w:hAnsi="宋体" w:cs="宋体" w:eastAsia="宋体"/>
          <w:sz w:val="24"/>
        </w:rPr>
        <w:t>▲⑤无线电测向数据回放，能够对过去不少于24小时内出现过的干扰信号测向定位。可记录偶发信号测向数据、出现时间，回放能快速定位信号出现时间并显示方位图。</w:t>
      </w:r>
      <w:r>
        <w:rPr>
          <w:rFonts w:ascii="宋体" w:hAnsi="宋体" w:cs="宋体" w:eastAsia="宋体"/>
          <w:sz w:val="24"/>
          <w:b/>
        </w:rPr>
        <w:t>（项</w:t>
      </w:r>
      <w:r>
        <w:rPr>
          <w:rFonts w:ascii="宋体" w:hAnsi="宋体" w:cs="宋体" w:eastAsia="宋体"/>
          <w:sz w:val="24"/>
          <w:b/>
        </w:rPr>
        <w:t>45）</w:t>
      </w:r>
    </w:p>
    <w:p>
      <w:pPr>
        <w:pStyle w:val="null3"/>
        <w:ind w:firstLine="480"/>
        <w:jc w:val="both"/>
      </w:pPr>
      <w:r>
        <w:rPr>
          <w:rFonts w:ascii="宋体" w:hAnsi="宋体" w:cs="宋体" w:eastAsia="宋体"/>
          <w:sz w:val="24"/>
        </w:rPr>
        <w:t>▲⑥支持监测和测向任务实时并行运行。</w:t>
      </w:r>
      <w:r>
        <w:rPr>
          <w:rFonts w:ascii="宋体" w:hAnsi="宋体" w:cs="宋体" w:eastAsia="宋体"/>
          <w:sz w:val="24"/>
          <w:b/>
        </w:rPr>
        <w:t>（项</w:t>
      </w:r>
      <w:r>
        <w:rPr>
          <w:rFonts w:ascii="宋体" w:hAnsi="宋体" w:cs="宋体" w:eastAsia="宋体"/>
          <w:sz w:val="24"/>
          <w:b/>
        </w:rPr>
        <w:t>46）</w:t>
      </w:r>
    </w:p>
    <w:p>
      <w:pPr>
        <w:pStyle w:val="null3"/>
        <w:ind w:firstLine="480"/>
        <w:jc w:val="both"/>
      </w:pPr>
      <w:r>
        <w:rPr>
          <w:rFonts w:ascii="宋体" w:hAnsi="宋体" w:cs="宋体" w:eastAsia="宋体"/>
          <w:sz w:val="24"/>
          <w:b/>
        </w:rPr>
        <w:t>（三）技术指标要求</w:t>
      </w:r>
    </w:p>
    <w:p>
      <w:pPr>
        <w:pStyle w:val="null3"/>
        <w:ind w:firstLine="480"/>
        <w:jc w:val="both"/>
      </w:pPr>
      <w:r>
        <w:rPr>
          <w:rFonts w:ascii="宋体" w:hAnsi="宋体" w:cs="宋体" w:eastAsia="宋体"/>
          <w:sz w:val="24"/>
        </w:rPr>
        <w:t>（</w:t>
      </w:r>
      <w:r>
        <w:rPr>
          <w:rFonts w:ascii="宋体" w:hAnsi="宋体" w:cs="宋体" w:eastAsia="宋体"/>
          <w:sz w:val="24"/>
        </w:rPr>
        <w:t>1）监测频率范围（至少包含）：20MHz～8GHz；</w:t>
      </w:r>
    </w:p>
    <w:p>
      <w:pPr>
        <w:pStyle w:val="null3"/>
        <w:ind w:firstLine="480"/>
        <w:jc w:val="both"/>
      </w:pPr>
      <w:r>
        <w:rPr>
          <w:rFonts w:ascii="宋体" w:hAnsi="宋体" w:cs="宋体" w:eastAsia="宋体"/>
          <w:sz w:val="24"/>
        </w:rPr>
        <w:t>（</w:t>
      </w:r>
      <w:r>
        <w:rPr>
          <w:rFonts w:ascii="宋体" w:hAnsi="宋体" w:cs="宋体" w:eastAsia="宋体"/>
          <w:sz w:val="24"/>
        </w:rPr>
        <w:t>2）测向频率范围（至少包含）：垂直极化：30MHz～8GHz，水平极化：40MHz～1300MHz；</w:t>
      </w:r>
    </w:p>
    <w:p>
      <w:pPr>
        <w:pStyle w:val="null3"/>
        <w:ind w:firstLine="480"/>
        <w:jc w:val="both"/>
      </w:pPr>
      <w:r>
        <w:rPr>
          <w:rFonts w:ascii="宋体" w:hAnsi="宋体" w:cs="宋体" w:eastAsia="宋体"/>
          <w:sz w:val="24"/>
        </w:rPr>
        <w:t>▲（3）频率稳定度(或</w:t>
      </w:r>
      <w:r>
        <w:rPr>
          <w:rFonts w:ascii="宋体" w:hAnsi="宋体" w:cs="宋体" w:eastAsia="宋体"/>
          <w:sz w:val="24"/>
        </w:rPr>
        <w:t>频率准确度</w:t>
      </w:r>
      <w:r>
        <w:rPr>
          <w:rFonts w:ascii="宋体" w:hAnsi="宋体" w:cs="宋体" w:eastAsia="宋体"/>
          <w:sz w:val="24"/>
        </w:rPr>
        <w:t>)</w:t>
      </w:r>
      <w:r>
        <w:rPr>
          <w:rFonts w:ascii="宋体" w:hAnsi="宋体" w:cs="宋体" w:eastAsia="宋体"/>
          <w:sz w:val="24"/>
        </w:rPr>
        <w:t>（绝对值）：</w:t>
      </w:r>
      <w:r>
        <w:rPr>
          <w:rFonts w:ascii="宋体" w:hAnsi="宋体" w:cs="宋体" w:eastAsia="宋体"/>
          <w:sz w:val="24"/>
        </w:rPr>
        <w:t>≤3×10-7；</w:t>
      </w:r>
      <w:r>
        <w:rPr>
          <w:rFonts w:ascii="宋体" w:hAnsi="宋体" w:cs="宋体" w:eastAsia="宋体"/>
          <w:sz w:val="24"/>
          <w:b/>
        </w:rPr>
        <w:t>（项</w:t>
      </w:r>
      <w:r>
        <w:rPr>
          <w:rFonts w:ascii="宋体" w:hAnsi="宋体" w:cs="宋体" w:eastAsia="宋体"/>
          <w:sz w:val="24"/>
          <w:b/>
        </w:rPr>
        <w:t>47）</w:t>
      </w:r>
    </w:p>
    <w:p>
      <w:pPr>
        <w:pStyle w:val="null3"/>
        <w:ind w:firstLine="480"/>
        <w:jc w:val="both"/>
      </w:pPr>
      <w:r>
        <w:rPr>
          <w:rFonts w:ascii="宋体" w:hAnsi="宋体" w:cs="宋体" w:eastAsia="宋体"/>
          <w:sz w:val="24"/>
        </w:rPr>
        <w:t>▲（4）相位噪声（fc=1GHz）：≤-110dBc/Hz@10kHz；</w:t>
      </w:r>
      <w:r>
        <w:rPr>
          <w:rFonts w:ascii="宋体" w:hAnsi="宋体" w:cs="宋体" w:eastAsia="宋体"/>
          <w:sz w:val="24"/>
          <w:b/>
        </w:rPr>
        <w:t>（项</w:t>
      </w:r>
      <w:r>
        <w:rPr>
          <w:rFonts w:ascii="宋体" w:hAnsi="宋体" w:cs="宋体" w:eastAsia="宋体"/>
          <w:sz w:val="24"/>
          <w:b/>
        </w:rPr>
        <w:t>48）</w:t>
      </w:r>
    </w:p>
    <w:p>
      <w:pPr>
        <w:pStyle w:val="null3"/>
        <w:ind w:firstLine="480"/>
        <w:jc w:val="both"/>
      </w:pPr>
      <w:r>
        <w:rPr>
          <w:rFonts w:ascii="宋体" w:hAnsi="宋体" w:cs="宋体" w:eastAsia="宋体"/>
          <w:sz w:val="24"/>
        </w:rPr>
        <w:t>▲（5）实时中频带宽：≥40MHz；</w:t>
      </w:r>
      <w:r>
        <w:rPr>
          <w:rFonts w:ascii="宋体" w:hAnsi="宋体" w:cs="宋体" w:eastAsia="宋体"/>
          <w:sz w:val="24"/>
          <w:b/>
        </w:rPr>
        <w:t>（项</w:t>
      </w:r>
      <w:r>
        <w:rPr>
          <w:rFonts w:ascii="宋体" w:hAnsi="宋体" w:cs="宋体" w:eastAsia="宋体"/>
          <w:sz w:val="24"/>
          <w:b/>
        </w:rPr>
        <w:t>49）</w:t>
      </w:r>
    </w:p>
    <w:p>
      <w:pPr>
        <w:pStyle w:val="null3"/>
        <w:ind w:firstLine="480"/>
        <w:jc w:val="both"/>
      </w:pPr>
      <w:r>
        <w:rPr>
          <w:rFonts w:ascii="宋体" w:hAnsi="宋体" w:cs="宋体" w:eastAsia="宋体"/>
          <w:sz w:val="24"/>
        </w:rPr>
        <w:t>（</w:t>
      </w:r>
      <w:r>
        <w:rPr>
          <w:rFonts w:ascii="宋体" w:hAnsi="宋体" w:cs="宋体" w:eastAsia="宋体"/>
          <w:sz w:val="24"/>
        </w:rPr>
        <w:t>6）噪声系数（实时带宽 20MHz）：≤15dB（20～3000MHz），≤20dB（3～8GHz）；</w:t>
      </w:r>
    </w:p>
    <w:p>
      <w:pPr>
        <w:pStyle w:val="null3"/>
        <w:ind w:firstLine="480"/>
        <w:jc w:val="both"/>
      </w:pPr>
      <w:r>
        <w:rPr>
          <w:rFonts w:ascii="宋体" w:hAnsi="宋体" w:cs="宋体" w:eastAsia="宋体"/>
          <w:sz w:val="24"/>
        </w:rPr>
        <w:t>（</w:t>
      </w:r>
      <w:r>
        <w:rPr>
          <w:rFonts w:ascii="宋体" w:hAnsi="宋体" w:cs="宋体" w:eastAsia="宋体"/>
          <w:sz w:val="24"/>
        </w:rPr>
        <w:t>7）监测灵敏度：≤10dBμV/m（20～3000MHz），≤15dBμV/m（3～8GHz）；</w:t>
      </w:r>
    </w:p>
    <w:p>
      <w:pPr>
        <w:pStyle w:val="null3"/>
        <w:ind w:firstLine="480"/>
        <w:jc w:val="both"/>
      </w:pPr>
      <w:r>
        <w:rPr>
          <w:rFonts w:ascii="宋体" w:hAnsi="宋体" w:cs="宋体" w:eastAsia="宋体"/>
          <w:sz w:val="24"/>
        </w:rPr>
        <w:t>（</w:t>
      </w:r>
      <w:r>
        <w:rPr>
          <w:rFonts w:ascii="宋体" w:hAnsi="宋体" w:cs="宋体" w:eastAsia="宋体"/>
          <w:sz w:val="24"/>
        </w:rPr>
        <w:t>8）测向灵敏度：≤20dBμV/m（30～3000MHz），≤25dBμV/m（3～8GHz）；</w:t>
      </w:r>
    </w:p>
    <w:p>
      <w:pPr>
        <w:pStyle w:val="null3"/>
        <w:ind w:firstLine="480"/>
        <w:jc w:val="both"/>
      </w:pPr>
      <w:r>
        <w:rPr>
          <w:rFonts w:ascii="宋体" w:hAnsi="宋体" w:cs="宋体" w:eastAsia="宋体"/>
          <w:sz w:val="24"/>
        </w:rPr>
        <w:t>▲（9）测向准确度（绝对值）：≤1.5°（30～3000 MHz ,R.M.S，无反射环境），≤2°（3～8GHz，R.M.S，无反射环境）；</w:t>
      </w:r>
      <w:r>
        <w:rPr>
          <w:rFonts w:ascii="宋体" w:hAnsi="宋体" w:cs="宋体" w:eastAsia="宋体"/>
          <w:sz w:val="24"/>
          <w:b/>
        </w:rPr>
        <w:t>（项</w:t>
      </w:r>
      <w:r>
        <w:rPr>
          <w:rFonts w:ascii="宋体" w:hAnsi="宋体" w:cs="宋体" w:eastAsia="宋体"/>
          <w:sz w:val="24"/>
          <w:b/>
        </w:rPr>
        <w:t>50）</w:t>
      </w:r>
    </w:p>
    <w:p>
      <w:pPr>
        <w:pStyle w:val="null3"/>
        <w:ind w:firstLine="480"/>
        <w:jc w:val="both"/>
      </w:pPr>
      <w:r>
        <w:rPr>
          <w:rFonts w:ascii="宋体" w:hAnsi="宋体" w:cs="宋体" w:eastAsia="宋体"/>
          <w:sz w:val="24"/>
        </w:rPr>
        <w:t>▲（10）11测向时效：≤2ms（单次突发信号）；</w:t>
      </w:r>
      <w:r>
        <w:rPr>
          <w:rFonts w:ascii="宋体" w:hAnsi="宋体" w:cs="宋体" w:eastAsia="宋体"/>
          <w:sz w:val="24"/>
          <w:b/>
        </w:rPr>
        <w:t>（项</w:t>
      </w:r>
      <w:r>
        <w:rPr>
          <w:rFonts w:ascii="宋体" w:hAnsi="宋体" w:cs="宋体" w:eastAsia="宋体"/>
          <w:sz w:val="24"/>
          <w:b/>
        </w:rPr>
        <w:t>51）</w:t>
      </w:r>
    </w:p>
    <w:p>
      <w:pPr>
        <w:pStyle w:val="null3"/>
        <w:ind w:firstLine="480"/>
        <w:jc w:val="both"/>
      </w:pPr>
      <w:r>
        <w:rPr>
          <w:rFonts w:ascii="宋体" w:hAnsi="宋体" w:cs="宋体" w:eastAsia="宋体"/>
          <w:sz w:val="24"/>
        </w:rPr>
        <w:t>▲（11）同频信号分离个数（D/λ&gt;1）：≥3；(D为天线孔径，λ为信号频率对应的波长)</w:t>
      </w:r>
      <w:r>
        <w:rPr>
          <w:rFonts w:ascii="宋体" w:hAnsi="宋体" w:cs="宋体" w:eastAsia="宋体"/>
          <w:sz w:val="24"/>
          <w:b/>
        </w:rPr>
        <w:t>（项</w:t>
      </w:r>
      <w:r>
        <w:rPr>
          <w:rFonts w:ascii="宋体" w:hAnsi="宋体" w:cs="宋体" w:eastAsia="宋体"/>
          <w:sz w:val="24"/>
          <w:b/>
        </w:rPr>
        <w:t>52）</w:t>
      </w:r>
    </w:p>
    <w:p>
      <w:pPr>
        <w:pStyle w:val="null3"/>
        <w:ind w:firstLine="480"/>
        <w:jc w:val="both"/>
      </w:pPr>
      <w:r>
        <w:rPr>
          <w:rFonts w:ascii="宋体" w:hAnsi="宋体" w:cs="宋体" w:eastAsia="宋体"/>
          <w:sz w:val="24"/>
        </w:rPr>
        <w:t>（</w:t>
      </w:r>
      <w:r>
        <w:rPr>
          <w:rFonts w:ascii="宋体" w:hAnsi="宋体" w:cs="宋体" w:eastAsia="宋体"/>
          <w:sz w:val="24"/>
        </w:rPr>
        <w:t>12）最小同频信号分辨角度（D/λ&gt;1）：≤20 °；</w:t>
      </w:r>
    </w:p>
    <w:p>
      <w:pPr>
        <w:pStyle w:val="null3"/>
        <w:ind w:firstLine="480"/>
        <w:jc w:val="both"/>
      </w:pPr>
      <w:r>
        <w:rPr>
          <w:rFonts w:ascii="宋体" w:hAnsi="宋体" w:cs="宋体" w:eastAsia="宋体"/>
          <w:sz w:val="24"/>
        </w:rPr>
        <w:t>（</w:t>
      </w:r>
      <w:r>
        <w:rPr>
          <w:rFonts w:ascii="宋体" w:hAnsi="宋体" w:cs="宋体" w:eastAsia="宋体"/>
          <w:sz w:val="24"/>
        </w:rPr>
        <w:t>13）扫描速度（25kHz步进）：≥50GHz/s；</w:t>
      </w:r>
    </w:p>
    <w:p>
      <w:pPr>
        <w:pStyle w:val="null3"/>
        <w:ind w:firstLine="480"/>
        <w:jc w:val="both"/>
      </w:pPr>
      <w:r>
        <w:rPr>
          <w:rFonts w:ascii="宋体" w:hAnsi="宋体" w:cs="宋体" w:eastAsia="宋体"/>
          <w:sz w:val="24"/>
        </w:rPr>
        <w:t>（</w:t>
      </w:r>
      <w:r>
        <w:rPr>
          <w:rFonts w:ascii="宋体" w:hAnsi="宋体" w:cs="宋体" w:eastAsia="宋体"/>
          <w:sz w:val="24"/>
        </w:rPr>
        <w:t>14）二阶截断点（低失真模式；中频带宽20MHz）：≥50dBm；</w:t>
      </w:r>
    </w:p>
    <w:p>
      <w:pPr>
        <w:pStyle w:val="null3"/>
        <w:ind w:firstLine="480"/>
        <w:jc w:val="both"/>
      </w:pPr>
      <w:r>
        <w:rPr>
          <w:rFonts w:ascii="宋体" w:hAnsi="宋体" w:cs="宋体" w:eastAsia="宋体"/>
          <w:sz w:val="24"/>
        </w:rPr>
        <w:t>（</w:t>
      </w:r>
      <w:r>
        <w:rPr>
          <w:rFonts w:ascii="宋体" w:hAnsi="宋体" w:cs="宋体" w:eastAsia="宋体"/>
          <w:sz w:val="24"/>
        </w:rPr>
        <w:t>15）三阶截断点（低失真模式；中频带宽20MHz）：≥10dBm；</w:t>
      </w:r>
    </w:p>
    <w:p>
      <w:pPr>
        <w:pStyle w:val="null3"/>
        <w:ind w:firstLine="480"/>
        <w:jc w:val="both"/>
      </w:pPr>
      <w:r>
        <w:rPr>
          <w:rFonts w:ascii="宋体" w:hAnsi="宋体" w:cs="宋体" w:eastAsia="宋体"/>
          <w:sz w:val="24"/>
        </w:rPr>
        <w:t>（</w:t>
      </w:r>
      <w:r>
        <w:rPr>
          <w:rFonts w:ascii="宋体" w:hAnsi="宋体" w:cs="宋体" w:eastAsia="宋体"/>
          <w:sz w:val="24"/>
        </w:rPr>
        <w:t>16）中频/镜像抑制：≥90dB；</w:t>
      </w:r>
    </w:p>
    <w:p>
      <w:pPr>
        <w:pStyle w:val="null3"/>
        <w:ind w:firstLine="480"/>
        <w:jc w:val="both"/>
      </w:pPr>
      <w:r>
        <w:rPr>
          <w:rFonts w:ascii="宋体" w:hAnsi="宋体" w:cs="宋体" w:eastAsia="宋体"/>
          <w:sz w:val="24"/>
        </w:rPr>
        <w:t>（</w:t>
      </w:r>
      <w:r>
        <w:rPr>
          <w:rFonts w:ascii="宋体" w:hAnsi="宋体" w:cs="宋体" w:eastAsia="宋体"/>
          <w:sz w:val="24"/>
        </w:rPr>
        <w:t>17）调制测量能力：AM、FM、CW、ASK、PSK、DPSK、QAM、FSK、MSK 等</w:t>
      </w:r>
    </w:p>
    <w:p>
      <w:pPr>
        <w:pStyle w:val="null3"/>
        <w:ind w:firstLine="480"/>
        <w:jc w:val="both"/>
      </w:pPr>
      <w:r>
        <w:rPr>
          <w:rFonts w:ascii="宋体" w:hAnsi="宋体" w:cs="宋体" w:eastAsia="宋体"/>
          <w:sz w:val="24"/>
          <w:b/>
        </w:rPr>
        <w:t>（四）基础设施建设要求</w:t>
      </w:r>
    </w:p>
    <w:p>
      <w:pPr>
        <w:pStyle w:val="null3"/>
        <w:ind w:firstLine="480"/>
        <w:jc w:val="both"/>
      </w:pPr>
      <w:r>
        <w:rPr>
          <w:rFonts w:ascii="宋体" w:hAnsi="宋体" w:cs="宋体" w:eastAsia="宋体"/>
          <w:sz w:val="24"/>
          <w:b/>
        </w:rPr>
        <w:t>1.机房（采用租赁铁塔及构筑物作为监测设备专用机房。）</w:t>
      </w:r>
    </w:p>
    <w:p>
      <w:pPr>
        <w:pStyle w:val="null3"/>
        <w:ind w:firstLine="480"/>
        <w:jc w:val="both"/>
      </w:pPr>
      <w:r>
        <w:rPr>
          <w:rFonts w:ascii="宋体" w:hAnsi="宋体" w:cs="宋体" w:eastAsia="宋体"/>
          <w:sz w:val="24"/>
          <w:b/>
        </w:rPr>
        <w:t>1.1 机房基本要求</w:t>
      </w:r>
    </w:p>
    <w:p>
      <w:pPr>
        <w:pStyle w:val="null3"/>
        <w:ind w:firstLine="480"/>
        <w:jc w:val="both"/>
      </w:pPr>
      <w:r>
        <w:rPr>
          <w:rFonts w:ascii="宋体" w:hAnsi="宋体" w:cs="宋体" w:eastAsia="宋体"/>
          <w:sz w:val="24"/>
        </w:rPr>
        <w:t>①</w:t>
      </w:r>
      <w:r>
        <w:rPr>
          <w:rFonts w:ascii="宋体" w:hAnsi="宋体" w:cs="宋体" w:eastAsia="宋体"/>
          <w:sz w:val="24"/>
        </w:rPr>
        <w:t>温度：</w:t>
      </w:r>
      <w:r>
        <w:rPr>
          <w:rFonts w:ascii="宋体" w:hAnsi="宋体" w:cs="宋体" w:eastAsia="宋体"/>
          <w:sz w:val="24"/>
        </w:rPr>
        <w:t>10℃～30℃；</w:t>
      </w:r>
    </w:p>
    <w:p>
      <w:pPr>
        <w:pStyle w:val="null3"/>
        <w:ind w:firstLine="480"/>
        <w:jc w:val="both"/>
      </w:pPr>
      <w:r>
        <w:rPr>
          <w:rFonts w:ascii="宋体" w:hAnsi="宋体" w:cs="宋体" w:eastAsia="宋体"/>
          <w:sz w:val="24"/>
        </w:rPr>
        <w:t>②</w:t>
      </w:r>
      <w:r>
        <w:rPr>
          <w:rFonts w:ascii="宋体" w:hAnsi="宋体" w:cs="宋体" w:eastAsia="宋体"/>
          <w:sz w:val="24"/>
        </w:rPr>
        <w:t>相对湿度：</w:t>
      </w:r>
      <w:r>
        <w:rPr>
          <w:rFonts w:ascii="宋体" w:hAnsi="宋体" w:cs="宋体" w:eastAsia="宋体"/>
          <w:sz w:val="24"/>
        </w:rPr>
        <w:t>20％～75％；</w:t>
      </w:r>
    </w:p>
    <w:p>
      <w:pPr>
        <w:pStyle w:val="null3"/>
        <w:ind w:firstLine="480"/>
        <w:jc w:val="both"/>
      </w:pPr>
      <w:r>
        <w:rPr>
          <w:rFonts w:ascii="宋体" w:hAnsi="宋体" w:cs="宋体" w:eastAsia="宋体"/>
          <w:sz w:val="24"/>
        </w:rPr>
        <w:t>③</w:t>
      </w:r>
      <w:r>
        <w:rPr>
          <w:rFonts w:ascii="宋体" w:hAnsi="宋体" w:cs="宋体" w:eastAsia="宋体"/>
          <w:sz w:val="24"/>
        </w:rPr>
        <w:t>应有防尘、防水等措施；</w:t>
      </w:r>
    </w:p>
    <w:p>
      <w:pPr>
        <w:pStyle w:val="null3"/>
        <w:ind w:firstLine="480"/>
        <w:jc w:val="both"/>
      </w:pPr>
      <w:r>
        <w:rPr>
          <w:rFonts w:ascii="宋体" w:hAnsi="宋体" w:cs="宋体" w:eastAsia="宋体"/>
          <w:sz w:val="24"/>
        </w:rPr>
        <w:t>④</w:t>
      </w:r>
      <w:r>
        <w:rPr>
          <w:rFonts w:ascii="宋体" w:hAnsi="宋体" w:cs="宋体" w:eastAsia="宋体"/>
          <w:sz w:val="24"/>
        </w:rPr>
        <w:t>机房内各种走线应隐蔽、安全、便于维护；</w:t>
      </w:r>
    </w:p>
    <w:p>
      <w:pPr>
        <w:pStyle w:val="null3"/>
        <w:ind w:firstLine="480"/>
        <w:jc w:val="both"/>
      </w:pPr>
      <w:r>
        <w:rPr>
          <w:rFonts w:ascii="宋体" w:hAnsi="宋体" w:cs="宋体" w:eastAsia="宋体"/>
          <w:sz w:val="24"/>
        </w:rPr>
        <w:t>⑤</w:t>
      </w:r>
      <w:r>
        <w:rPr>
          <w:rFonts w:ascii="宋体" w:hAnsi="宋体" w:cs="宋体" w:eastAsia="宋体"/>
          <w:sz w:val="24"/>
        </w:rPr>
        <w:t>应具有符合电子设备机房防火要求的措施；</w:t>
      </w:r>
    </w:p>
    <w:p>
      <w:pPr>
        <w:pStyle w:val="null3"/>
        <w:ind w:firstLine="480"/>
        <w:jc w:val="both"/>
      </w:pPr>
      <w:r>
        <w:rPr>
          <w:rFonts w:ascii="宋体" w:hAnsi="宋体" w:cs="宋体" w:eastAsia="宋体"/>
          <w:sz w:val="24"/>
        </w:rPr>
        <w:t>⑥</w:t>
      </w:r>
      <w:r>
        <w:rPr>
          <w:rFonts w:ascii="宋体" w:hAnsi="宋体" w:cs="宋体" w:eastAsia="宋体"/>
          <w:sz w:val="24"/>
        </w:rPr>
        <w:t>机房地面荷载应符合土建有关要求</w:t>
      </w:r>
      <w:r>
        <w:rPr>
          <w:rFonts w:ascii="宋体" w:hAnsi="宋体" w:cs="宋体" w:eastAsia="宋体"/>
          <w:sz w:val="24"/>
        </w:rPr>
        <w:t>。</w:t>
      </w:r>
    </w:p>
    <w:p>
      <w:pPr>
        <w:pStyle w:val="null3"/>
        <w:ind w:firstLine="480"/>
        <w:jc w:val="both"/>
      </w:pPr>
      <w:r>
        <w:rPr>
          <w:rFonts w:ascii="宋体" w:hAnsi="宋体" w:cs="宋体" w:eastAsia="宋体"/>
          <w:sz w:val="24"/>
          <w:b/>
        </w:rPr>
        <w:t>1.2 机房建设</w:t>
      </w:r>
    </w:p>
    <w:p>
      <w:pPr>
        <w:pStyle w:val="null3"/>
        <w:ind w:firstLine="480"/>
        <w:jc w:val="both"/>
      </w:pPr>
      <w:r>
        <w:rPr>
          <w:rFonts w:ascii="宋体" w:hAnsi="宋体" w:cs="宋体" w:eastAsia="宋体"/>
          <w:sz w:val="24"/>
        </w:rPr>
        <w:t>根据实际情况配置空调，保证设备工作环境温度在适宜的范围内；机房进线孔有防鼠设计，并有良好的防盗措施。</w:t>
      </w:r>
    </w:p>
    <w:p>
      <w:pPr>
        <w:pStyle w:val="null3"/>
        <w:ind w:firstLine="480"/>
        <w:jc w:val="both"/>
      </w:pPr>
      <w:r>
        <w:rPr>
          <w:rFonts w:ascii="宋体" w:hAnsi="宋体" w:cs="宋体" w:eastAsia="宋体"/>
          <w:sz w:val="24"/>
          <w:b/>
        </w:rPr>
        <w:t>机房用于放置室内设备及为操作人员提供操作舒适的工作环境，机房的设计按照国家相关标准进行，具体设计如下：</w:t>
      </w:r>
    </w:p>
    <w:p>
      <w:pPr>
        <w:pStyle w:val="null3"/>
        <w:ind w:firstLine="480"/>
        <w:jc w:val="both"/>
      </w:pPr>
      <w:r>
        <w:rPr>
          <w:rFonts w:ascii="宋体" w:hAnsi="宋体" w:cs="宋体" w:eastAsia="宋体"/>
          <w:sz w:val="24"/>
        </w:rPr>
        <w:t>①预留交流220V/10A电源输出插座并配置有空气开关；</w:t>
      </w:r>
    </w:p>
    <w:p>
      <w:pPr>
        <w:pStyle w:val="null3"/>
        <w:ind w:firstLine="480"/>
        <w:jc w:val="both"/>
      </w:pPr>
      <w:r>
        <w:rPr>
          <w:rFonts w:ascii="宋体" w:hAnsi="宋体" w:cs="宋体" w:eastAsia="宋体"/>
          <w:sz w:val="24"/>
        </w:rPr>
        <w:t>②预留设备联网接口；</w:t>
      </w:r>
    </w:p>
    <w:p>
      <w:pPr>
        <w:pStyle w:val="null3"/>
        <w:ind w:firstLine="480"/>
        <w:jc w:val="both"/>
      </w:pPr>
      <w:r>
        <w:rPr>
          <w:rFonts w:ascii="宋体" w:hAnsi="宋体" w:cs="宋体" w:eastAsia="宋体"/>
          <w:sz w:val="24"/>
        </w:rPr>
        <w:t>③拟安装机柜处预留保护接地装置，接地电阻满足接地要求；</w:t>
      </w:r>
    </w:p>
    <w:p>
      <w:pPr>
        <w:pStyle w:val="null3"/>
        <w:ind w:firstLine="480"/>
        <w:jc w:val="both"/>
      </w:pPr>
      <w:r>
        <w:rPr>
          <w:rFonts w:ascii="宋体" w:hAnsi="宋体" w:cs="宋体" w:eastAsia="宋体"/>
          <w:sz w:val="24"/>
        </w:rPr>
        <w:t>④机房侧墙预留电缆进线孔；</w:t>
      </w:r>
    </w:p>
    <w:p>
      <w:pPr>
        <w:pStyle w:val="null3"/>
        <w:ind w:firstLine="480"/>
        <w:jc w:val="both"/>
      </w:pPr>
      <w:r>
        <w:rPr>
          <w:rFonts w:ascii="宋体" w:hAnsi="宋体" w:cs="宋体" w:eastAsia="宋体"/>
          <w:sz w:val="24"/>
        </w:rPr>
        <w:t>⑤机房的所有线缆入口均加装防鼠装置；</w:t>
      </w:r>
    </w:p>
    <w:p>
      <w:pPr>
        <w:pStyle w:val="null3"/>
        <w:ind w:firstLine="480"/>
        <w:jc w:val="both"/>
      </w:pPr>
      <w:r>
        <w:rPr>
          <w:rFonts w:ascii="宋体" w:hAnsi="宋体" w:cs="宋体" w:eastAsia="宋体"/>
          <w:sz w:val="24"/>
        </w:rPr>
        <w:t>⑥机房内外安装摄像头、门窗移位等报警装置，具有良好的防盗措施；</w:t>
      </w:r>
    </w:p>
    <w:p>
      <w:pPr>
        <w:pStyle w:val="null3"/>
        <w:ind w:firstLine="480"/>
        <w:jc w:val="both"/>
      </w:pPr>
      <w:r>
        <w:rPr>
          <w:rFonts w:ascii="宋体" w:hAnsi="宋体" w:cs="宋体" w:eastAsia="宋体"/>
          <w:sz w:val="24"/>
        </w:rPr>
        <w:t>⑦机房内铺设防静电地板；</w:t>
      </w:r>
    </w:p>
    <w:p>
      <w:pPr>
        <w:pStyle w:val="null3"/>
        <w:ind w:firstLine="480"/>
        <w:jc w:val="both"/>
      </w:pPr>
      <w:r>
        <w:rPr>
          <w:rFonts w:ascii="宋体" w:hAnsi="宋体" w:cs="宋体" w:eastAsia="宋体"/>
          <w:sz w:val="24"/>
        </w:rPr>
        <w:t>⑧机房内配置手提式灭火系统。</w:t>
      </w:r>
    </w:p>
    <w:p>
      <w:pPr>
        <w:pStyle w:val="null3"/>
        <w:ind w:firstLine="480"/>
        <w:jc w:val="both"/>
      </w:pPr>
      <w:r>
        <w:rPr>
          <w:rFonts w:ascii="宋体" w:hAnsi="宋体" w:cs="宋体" w:eastAsia="宋体"/>
          <w:sz w:val="24"/>
          <w:b/>
        </w:rPr>
        <w:t>2.铁塔</w:t>
      </w:r>
    </w:p>
    <w:p>
      <w:pPr>
        <w:pStyle w:val="null3"/>
        <w:ind w:firstLine="480"/>
        <w:jc w:val="both"/>
      </w:pPr>
      <w:r>
        <w:rPr>
          <w:rFonts w:ascii="宋体" w:hAnsi="宋体" w:cs="宋体" w:eastAsia="宋体"/>
          <w:sz w:val="24"/>
        </w:rPr>
        <w:t>投标人须承诺：合同签订前与安装塔体及构筑物的产权方就铁塔、机房的改造意愿达成一致，并与产权方沟通对安装设备所涉及的构筑物与机房进行必要的改造，包括使项目顺利达成需要对承载铁塔、构筑物、机房、电力等所有附属设施进行必要论证和改造，改造后的标准需满足设备安装和项目的需要，同时需满足国家、行业的相关标准及要求，由此产生的一切设计、</w:t>
      </w:r>
      <w:r>
        <w:rPr>
          <w:rFonts w:ascii="宋体" w:hAnsi="宋体" w:cs="宋体" w:eastAsia="宋体"/>
          <w:sz w:val="24"/>
          <w:b/>
          <w:shd w:fill="FFFF00" w:val="clear"/>
        </w:rPr>
        <w:t>改造、</w:t>
      </w:r>
      <w:r>
        <w:rPr>
          <w:rFonts w:ascii="宋体" w:hAnsi="宋体" w:cs="宋体" w:eastAsia="宋体"/>
          <w:sz w:val="24"/>
        </w:rPr>
        <w:t>施工、监理等一切费用由投标人支付。</w:t>
      </w:r>
    </w:p>
    <w:p>
      <w:pPr>
        <w:pStyle w:val="null3"/>
        <w:ind w:firstLine="480"/>
        <w:jc w:val="both"/>
      </w:pPr>
      <w:r>
        <w:rPr>
          <w:rFonts w:ascii="宋体" w:hAnsi="宋体" w:cs="宋体" w:eastAsia="宋体"/>
          <w:sz w:val="24"/>
          <w:b/>
        </w:rPr>
        <w:t>3.防雷接地要求</w:t>
      </w:r>
    </w:p>
    <w:p>
      <w:pPr>
        <w:pStyle w:val="null3"/>
        <w:ind w:firstLine="480"/>
        <w:jc w:val="both"/>
      </w:pPr>
      <w:r>
        <w:rPr>
          <w:rFonts w:ascii="宋体" w:hAnsi="宋体" w:cs="宋体" w:eastAsia="宋体"/>
          <w:sz w:val="24"/>
        </w:rPr>
        <w:t>按照《省级无线电监测设施建设规范和技术要求》（试行）及国家有关防雷系统的规定执行。铁塔、天线、射频和控制电缆、电源、通信设施等都要有防雷措施。</w:t>
      </w:r>
    </w:p>
    <w:p>
      <w:pPr>
        <w:pStyle w:val="null3"/>
        <w:ind w:firstLine="480"/>
        <w:jc w:val="both"/>
      </w:pPr>
      <w:r>
        <w:rPr>
          <w:rFonts w:ascii="宋体" w:hAnsi="宋体" w:cs="宋体" w:eastAsia="宋体"/>
          <w:sz w:val="24"/>
        </w:rPr>
        <w:t>天线的馈线引入机房处的避雷接地电阻应小于</w:t>
      </w:r>
      <w:r>
        <w:rPr>
          <w:rFonts w:ascii="宋体" w:hAnsi="宋体" w:cs="宋体" w:eastAsia="宋体"/>
          <w:sz w:val="24"/>
        </w:rPr>
        <w:t>4欧姆；</w:t>
      </w:r>
    </w:p>
    <w:p>
      <w:pPr>
        <w:pStyle w:val="null3"/>
        <w:ind w:firstLine="480"/>
        <w:jc w:val="both"/>
      </w:pPr>
      <w:r>
        <w:rPr>
          <w:rFonts w:ascii="宋体" w:hAnsi="宋体" w:cs="宋体" w:eastAsia="宋体"/>
          <w:sz w:val="24"/>
        </w:rPr>
        <w:t>监测设备接地不应与防雷装置共用接地设备，并尽量与电力系统接地分开。</w:t>
      </w:r>
    </w:p>
    <w:p>
      <w:pPr>
        <w:pStyle w:val="null3"/>
        <w:ind w:firstLine="480"/>
        <w:jc w:val="both"/>
      </w:pPr>
      <w:r>
        <w:rPr>
          <w:rFonts w:ascii="宋体" w:hAnsi="宋体" w:cs="宋体" w:eastAsia="宋体"/>
          <w:sz w:val="24"/>
          <w:b/>
        </w:rPr>
        <w:t>（五）配置要求</w:t>
      </w:r>
    </w:p>
    <w:p>
      <w:pPr>
        <w:pStyle w:val="null3"/>
        <w:ind w:firstLine="480"/>
        <w:jc w:val="both"/>
      </w:pPr>
      <w:r>
        <w:rPr>
          <w:rFonts w:ascii="宋体" w:hAnsi="宋体" w:cs="宋体" w:eastAsia="宋体"/>
          <w:sz w:val="24"/>
          <w:b/>
        </w:rPr>
        <w:t>★二类固定监测站包括但不限于以下配置。</w:t>
      </w:r>
    </w:p>
    <w:tbl>
      <w:tblPr>
        <w:tblW w:w="0" w:type="auto"/>
        <w:tblBorders>
          <w:top w:val="none" w:color="000000" w:sz="4"/>
          <w:left w:val="none" w:color="000000" w:sz="4"/>
          <w:bottom w:val="none" w:color="000000" w:sz="4"/>
          <w:right w:val="none" w:color="000000" w:sz="4"/>
          <w:insideH w:val="none"/>
          <w:insideV w:val="none"/>
        </w:tblBorders>
      </w:tblPr>
      <w:tblGrid>
        <w:gridCol w:w="878"/>
        <w:gridCol w:w="1191"/>
        <w:gridCol w:w="5202"/>
        <w:gridCol w:w="517"/>
        <w:gridCol w:w="517"/>
      </w:tblGrid>
      <w:tr>
        <w:tc>
          <w:tcPr>
            <w:tcW w:type="dxa" w:w="8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序号</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设备名称</w:t>
            </w:r>
          </w:p>
        </w:tc>
        <w:tc>
          <w:tcPr>
            <w:tcW w:type="dxa" w:w="5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规格参数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单位</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数量</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监测测向</w:t>
            </w:r>
            <w:r>
              <w:rPr>
                <w:rFonts w:ascii="宋体" w:hAnsi="宋体" w:cs="宋体" w:eastAsia="宋体"/>
                <w:sz w:val="24"/>
                <w:b/>
                <w:color w:val="000000"/>
              </w:rPr>
              <w:t>天馈系统</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监测天线</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频率范围：</w:t>
            </w:r>
            <w:r>
              <w:rPr>
                <w:rFonts w:ascii="宋体" w:hAnsi="宋体" w:cs="宋体" w:eastAsia="宋体"/>
                <w:sz w:val="24"/>
                <w:color w:val="000000"/>
              </w:rPr>
              <w:t>20MHz～8GHz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双极化测向天线</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垂直极化</w:t>
            </w:r>
            <w:r>
              <w:rPr>
                <w:rFonts w:ascii="宋体" w:hAnsi="宋体" w:cs="宋体" w:eastAsia="宋体"/>
                <w:sz w:val="24"/>
                <w:color w:val="000000"/>
              </w:rPr>
              <w:t>30MHz～8GHz，水平极化40MHz～1300MHz</w:t>
            </w:r>
          </w:p>
          <w:p>
            <w:pPr>
              <w:pStyle w:val="null3"/>
            </w:pPr>
            <w:r>
              <w:rPr>
                <w:rFonts w:ascii="宋体" w:hAnsi="宋体" w:cs="宋体" w:eastAsia="宋体"/>
                <w:sz w:val="24"/>
                <w:color w:val="000000"/>
              </w:rPr>
              <w:t>阵元数：</w:t>
            </w:r>
            <w:r>
              <w:rPr>
                <w:rFonts w:ascii="宋体" w:hAnsi="宋体" w:cs="宋体" w:eastAsia="宋体"/>
                <w:sz w:val="24"/>
                <w:color w:val="000000"/>
              </w:rPr>
              <w:t>9阵元</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3）</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天馈系统配套设施</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监测测向天线安装适配器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监测系统</w:t>
            </w:r>
            <w:r>
              <w:rPr>
                <w:rFonts w:ascii="宋体" w:hAnsi="宋体" w:cs="宋体" w:eastAsia="宋体"/>
                <w:sz w:val="24"/>
                <w:b/>
                <w:color w:val="000000"/>
              </w:rPr>
              <w:t>硬件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宽带监测接收机</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频率范围：</w:t>
            </w:r>
            <w:r>
              <w:rPr>
                <w:rFonts w:ascii="宋体" w:hAnsi="宋体" w:cs="宋体" w:eastAsia="宋体"/>
                <w:sz w:val="24"/>
                <w:color w:val="000000"/>
              </w:rPr>
              <w:t>20MHz～8GHz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3</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测向系统</w:t>
            </w:r>
            <w:r>
              <w:rPr>
                <w:rFonts w:ascii="宋体" w:hAnsi="宋体" w:cs="宋体" w:eastAsia="宋体"/>
                <w:sz w:val="24"/>
                <w:b/>
                <w:color w:val="000000"/>
              </w:rPr>
              <w:t>硬件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测向接收机</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频率范围：</w:t>
            </w:r>
            <w:r>
              <w:rPr>
                <w:rFonts w:ascii="宋体" w:hAnsi="宋体" w:cs="宋体" w:eastAsia="宋体"/>
                <w:sz w:val="24"/>
                <w:color w:val="000000"/>
              </w:rPr>
              <w:t>30MHz～8GHz，相关干涉仪、9通道空间谱估计测向体制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4</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专项监测</w:t>
            </w:r>
            <w:r>
              <w:rPr>
                <w:rFonts w:ascii="宋体" w:hAnsi="宋体" w:cs="宋体" w:eastAsia="宋体"/>
                <w:sz w:val="24"/>
                <w:b/>
                <w:color w:val="000000"/>
              </w:rPr>
              <w:t>系统硬件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信号识别与分析</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支持对</w:t>
            </w:r>
            <w:r>
              <w:rPr>
                <w:rFonts w:ascii="宋体" w:hAnsi="宋体" w:cs="宋体" w:eastAsia="宋体"/>
                <w:sz w:val="24"/>
                <w:color w:val="000000"/>
              </w:rPr>
              <w:t>CW、AM、FM、ASK、BPSK、QPSK、8PSK、16QAM、2FSK、4FSK、MSK等信号进行识别与分析</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电视信号监测</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具备对模拟电视（</w:t>
            </w:r>
            <w:r>
              <w:rPr>
                <w:rFonts w:ascii="宋体" w:hAnsi="宋体" w:cs="宋体" w:eastAsia="宋体"/>
                <w:sz w:val="24"/>
                <w:color w:val="000000"/>
              </w:rPr>
              <w:t>PAL、SECAM、NTSC）、国标地面数字电视（DTMB）解调监视能力，记录声音、图像，并进行事后回放。</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3）</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数字信号监测设备</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具备对数字对讲</w:t>
            </w:r>
            <w:r>
              <w:rPr>
                <w:rFonts w:ascii="宋体" w:hAnsi="宋体" w:cs="宋体" w:eastAsia="宋体"/>
                <w:sz w:val="24"/>
                <w:color w:val="000000"/>
              </w:rPr>
              <w:t>/数字集群信号的监测能力</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4）</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GSM-R专用监测接收机</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上行频段（</w:t>
            </w:r>
            <w:r>
              <w:rPr>
                <w:rFonts w:ascii="宋体" w:hAnsi="宋体" w:cs="宋体" w:eastAsia="宋体"/>
                <w:sz w:val="24"/>
                <w:color w:val="000000"/>
              </w:rPr>
              <w:t>885MHz～889MHz）、下行频段（930MHz～934MHz）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5</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控制系统、网络和存储系统</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控制处理器</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提供监测测向服务，实现监测测向数据存储（不低于</w:t>
            </w:r>
            <w:r>
              <w:rPr>
                <w:rFonts w:ascii="宋体" w:hAnsi="宋体" w:cs="宋体" w:eastAsia="宋体"/>
                <w:sz w:val="24"/>
                <w:color w:val="000000"/>
              </w:rPr>
              <w:t>10TB），任务调度</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交换机</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不低于</w:t>
            </w:r>
            <w:r>
              <w:rPr>
                <w:rFonts w:ascii="宋体" w:hAnsi="宋体" w:cs="宋体" w:eastAsia="宋体"/>
                <w:sz w:val="24"/>
                <w:color w:val="000000"/>
              </w:rPr>
              <w:t>16口，10/100/1000M</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3）</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路由器</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工业级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6</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监测测向</w:t>
            </w:r>
            <w:r>
              <w:rPr>
                <w:rFonts w:ascii="宋体" w:hAnsi="宋体" w:cs="宋体" w:eastAsia="宋体"/>
                <w:sz w:val="24"/>
                <w:b/>
                <w:color w:val="000000"/>
              </w:rPr>
              <w:t>软件系统</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监测测向设备软件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含无线电监测测向模块、电子地图模块、专项监测模块等</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原子化服务软件</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依据</w:t>
            </w:r>
            <w:r>
              <w:rPr>
                <w:rFonts w:ascii="宋体" w:hAnsi="宋体" w:cs="宋体" w:eastAsia="宋体"/>
                <w:sz w:val="24"/>
                <w:color w:val="000000"/>
              </w:rPr>
              <w:t>YD/T 3700.3-2020《超短波监测管理一体化平台技术规范 第3部分：设备操作服务》进行监测站原子化服务封装。</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7</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监测机房</w:t>
            </w:r>
            <w:r>
              <w:rPr>
                <w:rFonts w:ascii="宋体" w:hAnsi="宋体" w:cs="宋体" w:eastAsia="宋体"/>
                <w:sz w:val="24"/>
                <w:b/>
                <w:color w:val="000000"/>
              </w:rPr>
              <w:t>配套设施</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1）</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摄像头</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1080P，不低于200万像素，支持人体移动检测</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2）</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硬盘录像机</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硬盘容量不小于</w:t>
            </w:r>
            <w:r>
              <w:rPr>
                <w:rFonts w:ascii="宋体" w:hAnsi="宋体" w:cs="宋体" w:eastAsia="宋体"/>
                <w:sz w:val="24"/>
                <w:color w:val="000000"/>
              </w:rPr>
              <w:t>1TB</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3）</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UPS电源</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在线式，机架式</w:t>
            </w:r>
            <w:r>
              <w:rPr>
                <w:rFonts w:ascii="宋体" w:hAnsi="宋体" w:cs="宋体" w:eastAsia="宋体"/>
                <w:sz w:val="24"/>
                <w:color w:val="000000"/>
              </w:rPr>
              <w:t>UPS，额定容量≥1kVA；</w:t>
            </w:r>
          </w:p>
          <w:p>
            <w:pPr>
              <w:pStyle w:val="null3"/>
            </w:pPr>
            <w:r>
              <w:rPr>
                <w:rFonts w:ascii="宋体" w:hAnsi="宋体" w:cs="宋体" w:eastAsia="宋体"/>
                <w:sz w:val="24"/>
                <w:color w:val="000000"/>
              </w:rPr>
              <w:t>具备故障告警、电池保护、防雷击、抗浪涌等功能</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4）</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蓄电池</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免维护铅酸蓄电池组，含电池箱（电池架）</w:t>
            </w:r>
            <w:r>
              <w:rPr>
                <w:rFonts w:ascii="宋体" w:hAnsi="宋体" w:cs="宋体" w:eastAsia="宋体"/>
                <w:sz w:val="24"/>
                <w:color w:val="0000FF"/>
                <w:u w:val="single"/>
              </w:rPr>
              <w:t>，</w:t>
            </w:r>
            <w:r>
              <w:rPr>
                <w:rFonts w:ascii="宋体" w:hAnsi="宋体" w:cs="宋体" w:eastAsia="宋体"/>
                <w:sz w:val="24"/>
                <w:color w:val="000000"/>
              </w:rPr>
              <w:t>可维持系统正常工作</w:t>
            </w:r>
            <w:r>
              <w:rPr>
                <w:rFonts w:ascii="宋体" w:hAnsi="宋体" w:cs="宋体" w:eastAsia="宋体"/>
                <w:sz w:val="24"/>
                <w:color w:val="000000"/>
              </w:rPr>
              <w:t>8小时以上</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5）</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防雷接地系统</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馈线防雷、电源防雷、网络防雷设施等</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6）</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环境监控系统</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远程设备开关机，温湿度、门窗、电压、烟雾等传感器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w:t>
            </w:r>
            <w:r>
              <w:rPr>
                <w:rFonts w:ascii="宋体" w:hAnsi="宋体" w:cs="宋体" w:eastAsia="宋体"/>
                <w:sz w:val="24"/>
                <w:color w:val="000000"/>
              </w:rPr>
              <w:t>7</w:t>
            </w:r>
            <w:r>
              <w:rPr>
                <w:rFonts w:ascii="宋体" w:hAnsi="宋体" w:cs="宋体" w:eastAsia="宋体"/>
                <w:sz w:val="24"/>
                <w:color w:val="000000"/>
              </w:rPr>
              <w:t>）</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机房</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租赁铁塔构筑物作为设备专用机房，光纤引入，配套消防、配电箱、走线架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8</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b/>
                <w:color w:val="000000"/>
              </w:rPr>
              <w:t>系统集成含铁塔建设</w:t>
            </w:r>
            <w:r>
              <w:rPr>
                <w:rFonts w:ascii="宋体" w:hAnsi="宋体" w:cs="宋体" w:eastAsia="宋体"/>
                <w:sz w:val="24"/>
                <w:b/>
                <w:color w:val="000000"/>
              </w:rPr>
              <w:t>(改造)</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系统集成含铁塔建设</w:t>
            </w:r>
            <w:r>
              <w:rPr>
                <w:rFonts w:ascii="arial" w:hAnsi="arial" w:cs="arial" w:eastAsia="arial"/>
                <w:sz w:val="21"/>
                <w:color w:val="000000"/>
              </w:rPr>
              <w:t>(改造)、安装调试</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1"/>
                <w:color w:val="000000"/>
              </w:rPr>
              <w:t>1</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w:t>
            </w:r>
            <w:r>
              <w:rPr>
                <w:rFonts w:ascii="arial, helvetica, sans-serif" w:hAnsi="arial, helvetica, sans-serif" w:cs="arial, helvetica, sans-serif" w:eastAsia="arial, helvetica, sans-serif"/>
                <w:sz w:val="21"/>
                <w:color w:val="000000"/>
              </w:rPr>
              <w:t>）</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信号管制设备</w:t>
            </w:r>
          </w:p>
        </w:tc>
        <w:tc>
          <w:tcPr>
            <w:tcW w:type="dxa" w:w="5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数传信号、模拟</w:t>
            </w:r>
            <w:r>
              <w:rPr>
                <w:rFonts w:ascii="arial" w:hAnsi="arial" w:cs="arial" w:eastAsia="arial"/>
                <w:sz w:val="21"/>
                <w:color w:val="000000"/>
              </w:rPr>
              <w:t>/数字对讲信号的压制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1"/>
                <w:color w:val="000000"/>
              </w:rPr>
              <w:t>1</w:t>
            </w:r>
          </w:p>
        </w:tc>
      </w:tr>
    </w:tbl>
    <w:p>
      <w:pPr>
        <w:pStyle w:val="null3"/>
        <w:jc w:val="both"/>
      </w:pPr>
      <w:r>
        <w:rPr>
          <w:rFonts w:ascii="宋体" w:hAnsi="宋体" w:cs="宋体" w:eastAsia="宋体"/>
          <w:sz w:val="24"/>
          <w:b/>
        </w:rPr>
        <w:t>（六）技术响应要求</w:t>
      </w:r>
    </w:p>
    <w:p>
      <w:pPr>
        <w:pStyle w:val="null3"/>
        <w:jc w:val="both"/>
      </w:pPr>
      <w:r>
        <w:rPr>
          <w:rFonts w:ascii="宋体" w:hAnsi="宋体" w:cs="宋体" w:eastAsia="宋体"/>
          <w:sz w:val="24"/>
        </w:rPr>
        <w:t>1.投标人在投标文件中应明确投标货物的品牌、制造商、型号、规格、技术参数、数量等信息，并在详细报价文件中明确各项货物的报价；</w:t>
      </w:r>
    </w:p>
    <w:p>
      <w:pPr>
        <w:pStyle w:val="null3"/>
        <w:jc w:val="both"/>
      </w:pPr>
      <w:r>
        <w:rPr>
          <w:rFonts w:ascii="宋体" w:hAnsi="宋体" w:cs="宋体" w:eastAsia="宋体"/>
          <w:sz w:val="24"/>
        </w:rPr>
        <w:t>2.本章的要求为基本要求，评分条款若有对优于本章要求进行加分的，投标人符合要求并提供相应证明材料的可获加分，具体详见评分条款；</w:t>
      </w:r>
    </w:p>
    <w:p>
      <w:pPr>
        <w:pStyle w:val="null3"/>
        <w:jc w:val="both"/>
      </w:pPr>
      <w:r>
        <w:rPr>
          <w:rFonts w:ascii="宋体" w:hAnsi="宋体" w:cs="宋体" w:eastAsia="宋体"/>
          <w:sz w:val="24"/>
        </w:rPr>
        <w:t>3.投标人除根据本章技术参数要求提供相应技术响应及佐证材料外，还应根据技术项评分条款的要求提供相应的技术参数佐证材料，未按要求提供的将可能导致不得分；</w:t>
      </w:r>
    </w:p>
    <w:p>
      <w:pPr>
        <w:pStyle w:val="null3"/>
        <w:jc w:val="both"/>
      </w:pPr>
      <w:r>
        <w:rPr>
          <w:rFonts w:ascii="宋体" w:hAnsi="宋体" w:cs="宋体" w:eastAsia="宋体"/>
          <w:sz w:val="24"/>
        </w:rPr>
        <w:t>4.招标文件中若要求提供检验（检测）报告或测试报告的，投标人应提供国家认可的第三方检验（检测）机构出具的相应报告佐证（报告需加盖检验检测专用章，并标注资质认定标志CMA或CNAS）。未按要求提供的不予认可；</w:t>
      </w:r>
    </w:p>
    <w:p>
      <w:pPr>
        <w:pStyle w:val="null3"/>
        <w:jc w:val="both"/>
      </w:pPr>
      <w:r>
        <w:rPr>
          <w:rFonts w:ascii="宋体" w:hAnsi="宋体" w:cs="宋体" w:eastAsia="宋体"/>
          <w:sz w:val="24"/>
        </w:rPr>
        <w:t>5.投标人提供的佐证材料为产品技术说明书的，应能体现为制造商官方的产品技术说明书，投标人自行编辑的产品技术说明书文档不予认可（涉及评分的条款，不能得分；涉及符合性的条款，则符合性审核不通过）；</w:t>
      </w:r>
    </w:p>
    <w:p>
      <w:pPr>
        <w:pStyle w:val="null3"/>
        <w:jc w:val="both"/>
      </w:pPr>
      <w:r>
        <w:rPr>
          <w:rFonts w:ascii="宋体" w:hAnsi="宋体" w:cs="宋体" w:eastAsia="宋体"/>
          <w:sz w:val="24"/>
        </w:rPr>
        <w:t>6.投标人中标后不得将本项目转包，否则采购人有权终止合同并追究中标人的违约责任；</w:t>
      </w:r>
    </w:p>
    <w:p>
      <w:pPr>
        <w:pStyle w:val="null3"/>
        <w:jc w:val="both"/>
      </w:pPr>
      <w:r>
        <w:rPr>
          <w:rFonts w:ascii="宋体" w:hAnsi="宋体" w:cs="宋体" w:eastAsia="宋体"/>
          <w:sz w:val="24"/>
        </w:rPr>
        <w:t>7.投标人提供的采购标的应符合国家知识产权法律、法规的规定且非假冒伪劣品；投标人中标后需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jc w:val="both"/>
      </w:pPr>
      <w:r>
        <w:rPr>
          <w:rFonts w:ascii="宋体" w:hAnsi="宋体" w:cs="宋体" w:eastAsia="宋体"/>
          <w:sz w:val="24"/>
        </w:rPr>
        <w:t>8.投标人应明确所提供的货物及服务与采购需求存在的正负偏离情况。对照招标文件要求，在《技术和服务要求响应表》中逐条说明所提供的货物及服务对采购需求的响应情况。投标人若未对采购需求进行逐条响应，将可能导致不利的评审后果。</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tc>
        <w:tc>
          <w:tcPr>
            <w:tcW w:type="dxa" w:w="2076"/>
          </w:tcPr>
          <w:p>
            <w:pPr>
              <w:pStyle w:val="null3"/>
              <w:jc w:val="both"/>
            </w:pPr>
            <w:r>
              <w:rPr/>
              <w:t>交货时间</w:t>
            </w:r>
          </w:p>
        </w:tc>
        <w:tc>
          <w:tcPr>
            <w:tcW w:type="dxa" w:w="2076"/>
          </w:tcPr>
          <w:p>
            <w:pPr>
              <w:pStyle w:val="null3"/>
              <w:jc w:val="both"/>
            </w:pPr>
            <w:r>
              <w:rPr/>
              <w:t>合同签订后60个日历日内供货、安装、调试完毕并提交采购人验收。</w:t>
            </w:r>
          </w:p>
        </w:tc>
      </w:tr>
      <w:tr>
        <w:tc>
          <w:tcPr>
            <w:tcW w:type="dxa" w:w="2076"/>
          </w:tcPr>
          <w:p>
            <w:pPr>
              <w:pStyle w:val="null3"/>
              <w:jc w:val="both"/>
            </w:pPr>
            <w:r>
              <w:rPr/>
              <w:t>2</w:t>
            </w:r>
          </w:p>
        </w:tc>
        <w:tc>
          <w:tcPr>
            <w:tcW w:type="dxa" w:w="2076"/>
          </w:tcPr>
          <w:p/>
        </w:tc>
        <w:tc>
          <w:tcPr>
            <w:tcW w:type="dxa" w:w="2076"/>
          </w:tcPr>
          <w:p>
            <w:pPr>
              <w:pStyle w:val="null3"/>
              <w:jc w:val="both"/>
            </w:pPr>
            <w:r>
              <w:rPr/>
              <w:t>交货地点</w:t>
            </w:r>
          </w:p>
        </w:tc>
        <w:tc>
          <w:tcPr>
            <w:tcW w:type="dxa" w:w="2076"/>
          </w:tcPr>
          <w:p>
            <w:pPr>
              <w:pStyle w:val="null3"/>
              <w:jc w:val="both"/>
            </w:pPr>
            <w:r>
              <w:rPr/>
              <w:t>采购人指定地点（中标人发货前须向采购人确认）</w:t>
            </w:r>
          </w:p>
        </w:tc>
      </w:tr>
      <w:tr>
        <w:tc>
          <w:tcPr>
            <w:tcW w:type="dxa" w:w="2076"/>
          </w:tcPr>
          <w:p>
            <w:pPr>
              <w:pStyle w:val="null3"/>
              <w:jc w:val="both"/>
            </w:pPr>
            <w:r>
              <w:rPr/>
              <w:t>3</w:t>
            </w:r>
          </w:p>
        </w:tc>
        <w:tc>
          <w:tcPr>
            <w:tcW w:type="dxa" w:w="2076"/>
          </w:tcPr>
          <w:p/>
        </w:tc>
        <w:tc>
          <w:tcPr>
            <w:tcW w:type="dxa" w:w="2076"/>
          </w:tcPr>
          <w:p>
            <w:pPr>
              <w:pStyle w:val="null3"/>
              <w:jc w:val="both"/>
            </w:pPr>
            <w:r>
              <w:rPr/>
              <w:t>交货条件</w:t>
            </w:r>
          </w:p>
        </w:tc>
        <w:tc>
          <w:tcPr>
            <w:tcW w:type="dxa" w:w="2076"/>
          </w:tcPr>
          <w:p>
            <w:pPr>
              <w:pStyle w:val="null3"/>
              <w:jc w:val="both"/>
            </w:pPr>
            <w:r>
              <w:rPr/>
              <w:t>合同验收合格，交付试运行。</w:t>
            </w:r>
          </w:p>
        </w:tc>
      </w:tr>
      <w:tr>
        <w:tc>
          <w:tcPr>
            <w:tcW w:type="dxa" w:w="2076"/>
          </w:tcPr>
          <w:p>
            <w:pPr>
              <w:pStyle w:val="null3"/>
              <w:jc w:val="both"/>
            </w:pPr>
            <w:r>
              <w:rPr/>
              <w:t>4</w:t>
            </w:r>
          </w:p>
        </w:tc>
        <w:tc>
          <w:tcPr>
            <w:tcW w:type="dxa" w:w="2076"/>
          </w:tcP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tc>
        <w:tc>
          <w:tcPr>
            <w:tcW w:type="dxa" w:w="2076"/>
          </w:tcPr>
          <w:p>
            <w:pPr>
              <w:pStyle w:val="null3"/>
              <w:jc w:val="both"/>
            </w:pPr>
            <w:r>
              <w:rPr/>
              <w:t>履约验收方式</w:t>
            </w:r>
          </w:p>
        </w:tc>
        <w:tc>
          <w:tcPr>
            <w:tcW w:type="dxa" w:w="2076"/>
          </w:tcPr>
          <w:p>
            <w:pPr>
              <w:pStyle w:val="null3"/>
              <w:jc w:val="both"/>
            </w:pPr>
            <w:r>
              <w:rPr/>
              <w:t>1、期次1，说明：1、期次1，到货验收。依据《无线电监测设施测试验证工作规定（试行）》（工信部无﹝2017﹞283号）和《福建省工业和信息化厅关于印发无线电基础和技术设施建设项目管理办法的通知》（闽工信函频管﹝2023﹞417号）相关要求及招投标文件、合同等有关内容进行验收。验收小组由采购人、中标人的人员组成。全部货物到达中标人集成地（含检测场所）或采购人指定地点后，中标人和采购人一同对全部货物的数量、型号、基本质量进行到货点验。随同货物应提供供货证明、设备质量合格证、具有CMA或CNAS资质的第三方检测机构按GB/T32401-2015《VHF/UHF频段无线电监测接收机技术要求及测试方法》出具的本项目交付清单（含设备序列号）中所列监测接收机正式检测报告（须提供复印件），检测费用由中标人承担。 中标人按招标文件、合同等有关内容完成货物现场安装、联网调试，可以正常运行24小时后，中标人申请进行到货验收。 到货验收如果不合格，中标人进行为期15个日历日的整改后再次组织到货验收。</w:t>
            </w:r>
          </w:p>
          <w:p>
            <w:pPr>
              <w:pStyle w:val="null3"/>
              <w:jc w:val="both"/>
            </w:pPr>
            <w:r>
              <w:rPr/>
              <w:t>2、期次2，说明：2、期次2，初步验收（含合同验收）。到货验收合格后，采购人按照国家无线电管理（技术）机构规定及《福建省工业和信息化厅关于印发无线电基础和技术设施建设项目管理办法的通知》（闽工信函频管﹝2023﹞417号）要求组织专家组对项目进行初步验收。 一体化设备操作服务（原子化服务封装）建设内容应按照《省级无线电管理一体化平台建设规范》（国无办〔2019〕37号）文件要求，提供具有CMA或CNAS资质的第三方测试机构出具的协议符合性测试报告，其中第三方测试机构应由中标人初步选定并由采购人书面认可，相关测试费用均由中标人承担。软件功能采取现场操作比对和测试指标比对的方式验收。 初步验收前，要求对各个单项功能进行逐项检验和系统总体测试，均达到标书所要求的系统功能，并实现系统正常运行。中标人应负责在验收时将系统的全部有关技术文件、资料及安装、测试报告等文档汇集成册交付采购人。</w:t>
            </w:r>
          </w:p>
          <w:p>
            <w:pPr>
              <w:pStyle w:val="null3"/>
              <w:jc w:val="both"/>
            </w:pPr>
            <w:r>
              <w:rPr/>
              <w:t>3、期次3，说明：3、期次3，试运行。初步验收合格后，中标人需与采购人进行交接工作，授与采购人相关知识专题培训，进入试运行期，开展30*24小时连续试运行，试运行期间系统集成核心设备及功能连续30天无故障的，由中标人书面提出竣工验收申请。在试运行期间，出现重大故障，如：系统崩溃、招标文件技术要求中列入的主要功能不能实现以及存在致使系统不能正常工作的缺陷，则试运行期从故障修复之日起重新计算，顺延一个月。</w:t>
            </w:r>
          </w:p>
          <w:p>
            <w:pPr>
              <w:pStyle w:val="null3"/>
              <w:jc w:val="both"/>
            </w:pPr>
            <w:r>
              <w:rPr/>
              <w:t>4、期次4，说明：期次4，竣工验收。试运行期满后，中标人需按照国家无线电管理（技术）机构规定及《福建省工业和信息化厅关于印发无线电基础和技术设施建设项目管理办法的通知》（闽工信函频管﹝2023﹞417号）要求，提交完备的项目竣工相关文档（包括但不限于设备的安装、运行、使用、测试、诊断、软硬件设备的安装指南和维修的技术文件）、备份的资料、采集的数据（如实施文档、配置文档、拓扑图、施工效果图等）等材料，交由采购人组织专家组进行竣工验收。</w:t>
            </w:r>
          </w:p>
        </w:tc>
      </w:tr>
      <w:tr>
        <w:tc>
          <w:tcPr>
            <w:tcW w:type="dxa" w:w="2076"/>
          </w:tcPr>
          <w:p>
            <w:pPr>
              <w:pStyle w:val="null3"/>
              <w:jc w:val="both"/>
            </w:pPr>
            <w:r>
              <w:rPr/>
              <w:t>6</w:t>
            </w:r>
          </w:p>
        </w:tc>
        <w:tc>
          <w:tcPr>
            <w:tcW w:type="dxa" w:w="2076"/>
          </w:tcPr>
          <w:p/>
        </w:tc>
        <w:tc>
          <w:tcPr>
            <w:tcW w:type="dxa" w:w="2076"/>
          </w:tcPr>
          <w:p>
            <w:pPr>
              <w:pStyle w:val="null3"/>
              <w:jc w:val="both"/>
            </w:pPr>
            <w:r>
              <w:rPr/>
              <w:t>合同支付方式</w:t>
            </w:r>
          </w:p>
        </w:tc>
        <w:tc>
          <w:tcPr>
            <w:tcW w:type="dxa" w:w="2076"/>
          </w:tcPr>
          <w:p>
            <w:pPr>
              <w:pStyle w:val="null3"/>
              <w:jc w:val="both"/>
            </w:pPr>
            <w:r>
              <w:rPr/>
              <w:t>1、到货验收合格，达到付款条件起7日内，支付合同总金额的100.00%</w:t>
            </w:r>
          </w:p>
        </w:tc>
      </w:tr>
      <w:tr>
        <w:tc>
          <w:tcPr>
            <w:tcW w:type="dxa" w:w="2076"/>
          </w:tcPr>
          <w:p>
            <w:pPr>
              <w:pStyle w:val="null3"/>
              <w:jc w:val="both"/>
            </w:pPr>
            <w:r>
              <w:rPr/>
              <w:t>7</w:t>
            </w:r>
          </w:p>
        </w:tc>
        <w:tc>
          <w:tcPr>
            <w:tcW w:type="dxa" w:w="2076"/>
          </w:tcP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本采购包履约保证金为合同金额的2.0%</w:t>
            </w:r>
          </w:p>
          <w:p>
            <w:pPr>
              <w:pStyle w:val="null3"/>
              <w:jc w:val="both"/>
            </w:pPr>
            <w:r>
              <w:rPr/>
              <w:t>说明：①中标人在签订政府采购合同后五个工作日内，以银行保函的形式向采购人缴纳合同总金额的2.0%作为履约保证金；若中标人未按双方签订合同规定履约，则无权要求退回履约保证金。履约保证金不足以赔偿损失的，按实际损失赔偿。 履约保证金在中标人完成双方签订的合同规定后，无息退还。②中标人以汇票、本票或金融机构出具的保函等非现金形式提供履约保证金。履约担保的有效期应至少至中标人承诺的质保期结束。</w:t>
            </w:r>
          </w:p>
        </w:tc>
      </w:tr>
      <w:tr>
        <w:tc>
          <w:tcPr>
            <w:tcW w:type="dxa" w:w="2076"/>
          </w:tcPr>
          <w:p>
            <w:pPr>
              <w:pStyle w:val="null3"/>
              <w:jc w:val="both"/>
            </w:pPr>
            <w:r>
              <w:rPr/>
              <w:t>8</w:t>
            </w:r>
          </w:p>
        </w:tc>
        <w:tc>
          <w:tcPr>
            <w:tcW w:type="dxa" w:w="2076"/>
          </w:tcPr>
          <w:p/>
        </w:tc>
        <w:tc>
          <w:tcPr>
            <w:tcW w:type="dxa" w:w="2076"/>
          </w:tcPr>
          <w:p>
            <w:pPr>
              <w:pStyle w:val="null3"/>
              <w:jc w:val="both"/>
            </w:pPr>
            <w:r>
              <w:rPr/>
              <w:t>其他</w:t>
            </w:r>
          </w:p>
        </w:tc>
        <w:tc>
          <w:tcPr>
            <w:tcW w:type="dxa" w:w="2076"/>
          </w:tcPr>
          <w:p>
            <w:pPr>
              <w:pStyle w:val="null3"/>
              <w:jc w:val="both"/>
            </w:pPr>
            <w:r>
              <w:rPr/>
              <w:t>因系统格式固化不可更改，本表中序号6合同支付方式要求更改如下，并以此为准。1、到货验收合格，双方签署到货验收报告且中标人开具本合同总金额100%的正式发票给采购人，达到付款条件起15日内，支付合同总金额的70.00%； 2、初步验收（含合同验收）合格，双方签署初步验收报告后，达到付款条件起15日内，支付合同总金额的20.00%； 3、初步验收合格后，中标人向采购人提供合同金额10.00%的项目款银行保函（保函有效期不少于1年），采购人收到保函后15日内向中标人支付合同总金额的10.00%的预付款。竣工验收合格，双方签署竣工验收报告起15日内，采购人向中标人归还银行保函。</w:t>
            </w:r>
          </w:p>
        </w:tc>
      </w:tr>
    </w:tbl>
    <w:p>
      <w:pPr>
        <w:pStyle w:val="null3"/>
        <w:jc w:val="left"/>
      </w:pPr>
      <w:r>
        <w:rPr/>
        <w:t>其他商务要求</w:t>
      </w:r>
    </w:p>
    <w:p>
      <w:pPr>
        <w:pStyle w:val="null3"/>
        <w:ind w:firstLine="480"/>
        <w:jc w:val="left"/>
      </w:pPr>
      <w:r>
        <w:rPr>
          <w:rFonts w:ascii="simsun" w:hAnsi="simsun" w:cs="simsun" w:eastAsia="simsun"/>
          <w:sz w:val="24"/>
        </w:rPr>
        <w:t>1.售后服务要求</w:t>
      </w:r>
    </w:p>
    <w:p>
      <w:pPr>
        <w:pStyle w:val="null3"/>
        <w:ind w:firstLine="480"/>
        <w:jc w:val="both"/>
      </w:pPr>
      <w:r>
        <w:rPr>
          <w:rFonts w:ascii="simsun" w:hAnsi="simsun" w:cs="simsun" w:eastAsia="simsun"/>
          <w:sz w:val="24"/>
        </w:rPr>
        <w:t>1.1 投标人投标时提供详细的售后服务方案，并承诺设备出现故障时，投标人维修人员必须保证在12小时内到达故障现场，并及时排除故障。</w:t>
      </w:r>
    </w:p>
    <w:p>
      <w:pPr>
        <w:pStyle w:val="null3"/>
        <w:ind w:firstLine="480"/>
        <w:jc w:val="both"/>
      </w:pPr>
      <w:r>
        <w:rPr>
          <w:rFonts w:ascii="simsun" w:hAnsi="simsun" w:cs="simsun" w:eastAsia="simsun"/>
          <w:sz w:val="24"/>
        </w:rPr>
        <w:t>1.2 为方便投标人更好了解本项目的现场基础资料和背景或其它需要了解的项目具体信息，避免在报价时因理解不清而影响今后项目的实施，采购人组织现场统一考察。考察报名截止时间为采购文件发售截止后第一个工作日12：00时，第二个工作日10：00时在现场统一考察(逾时不候，考察人员需提供公司介绍信及身份证资料），联系人：陈先生，0592- 5806695。由于投标人对招标文件要求理解不正确或误解造成的一切后果和可能增加的费用均由投标人自行负责。采购人对投标人因未咨询而造成对本项目的误解以及投标人咨询后作出的任何推论、理解和结论均不负责任</w:t>
      </w:r>
    </w:p>
    <w:p>
      <w:pPr>
        <w:pStyle w:val="null3"/>
        <w:ind w:firstLine="480"/>
        <w:jc w:val="both"/>
      </w:pPr>
      <w:r>
        <w:rPr>
          <w:rFonts w:ascii="simsun" w:hAnsi="simsun" w:cs="simsun" w:eastAsia="simsun"/>
          <w:sz w:val="24"/>
        </w:rPr>
        <w:t>1.3 本项目验收合格后，自</w:t>
      </w:r>
      <w:r>
        <w:rPr>
          <w:rFonts w:ascii="simsun" w:hAnsi="simsun" w:cs="simsun" w:eastAsia="simsun"/>
          <w:sz w:val="24"/>
          <w:u w:val="single"/>
        </w:rPr>
        <w:t>竣工</w:t>
      </w:r>
      <w:r>
        <w:rPr>
          <w:rFonts w:ascii="simsun" w:hAnsi="simsun" w:cs="simsun" w:eastAsia="simsun"/>
          <w:sz w:val="24"/>
        </w:rPr>
        <w:t>验收合格之日起，系统进入为期三年（36个月）的质保期，中标人负责质保期内系统的免费维修。</w:t>
      </w:r>
    </w:p>
    <w:p>
      <w:pPr>
        <w:pStyle w:val="null3"/>
        <w:ind w:firstLine="480"/>
        <w:jc w:val="both"/>
      </w:pPr>
      <w:r>
        <w:rPr>
          <w:rFonts w:ascii="simsun" w:hAnsi="simsun" w:cs="simsun" w:eastAsia="simsun"/>
          <w:sz w:val="24"/>
        </w:rPr>
        <w:t>1.4 投标人应根据采购人指定的地点提供送货、安装、调试服务。</w:t>
      </w:r>
    </w:p>
    <w:p>
      <w:pPr>
        <w:pStyle w:val="null3"/>
        <w:ind w:firstLine="480"/>
        <w:jc w:val="both"/>
      </w:pPr>
      <w:r>
        <w:rPr>
          <w:rFonts w:ascii="simsun" w:hAnsi="simsun" w:cs="simsun" w:eastAsia="simsun"/>
          <w:sz w:val="24"/>
        </w:rPr>
        <w:t>1.5 为保证中标人所提供的货物能良好运行，中标人须提出对所有使用人员培训的详细内容及计划及货物操作、功能、维护等方面的培训。</w:t>
      </w:r>
    </w:p>
    <w:p>
      <w:pPr>
        <w:pStyle w:val="null3"/>
        <w:ind w:firstLine="480"/>
        <w:jc w:val="both"/>
      </w:pPr>
      <w:r>
        <w:rPr>
          <w:rFonts w:ascii="simsun" w:hAnsi="simsun" w:cs="simsun" w:eastAsia="simsun"/>
          <w:sz w:val="24"/>
        </w:rPr>
        <w:t>1.6 中标人认为有利于采购人的其他优惠条款应单独列明。</w:t>
      </w:r>
    </w:p>
    <w:p>
      <w:pPr>
        <w:pStyle w:val="null3"/>
        <w:ind w:firstLine="480"/>
        <w:jc w:val="both"/>
      </w:pPr>
      <w:r>
        <w:rPr>
          <w:rFonts w:ascii="simsun" w:hAnsi="simsun" w:cs="simsun" w:eastAsia="simsun"/>
          <w:sz w:val="24"/>
        </w:rPr>
        <w:t>2.报价要求</w:t>
      </w:r>
    </w:p>
    <w:p>
      <w:pPr>
        <w:pStyle w:val="null3"/>
        <w:ind w:firstLine="480"/>
        <w:jc w:val="both"/>
      </w:pPr>
      <w:r>
        <w:rPr>
          <w:rFonts w:ascii="simsun" w:hAnsi="simsun" w:cs="simsun" w:eastAsia="simsun"/>
          <w:sz w:val="24"/>
        </w:rPr>
        <w:t>2.1 本项目为整体采购，投标人必须对采购项目的所有内容及服务进行完整报价响应。</w:t>
      </w:r>
    </w:p>
    <w:p>
      <w:pPr>
        <w:pStyle w:val="null3"/>
        <w:ind w:firstLine="480"/>
        <w:jc w:val="both"/>
      </w:pPr>
      <w:r>
        <w:rPr>
          <w:rFonts w:ascii="simsun" w:hAnsi="simsun" w:cs="simsun" w:eastAsia="simsun"/>
          <w:sz w:val="24"/>
        </w:rPr>
        <w:t>2.2 报价应以人民币为货币单位，应分单价、小计和总价。</w:t>
      </w:r>
    </w:p>
    <w:p>
      <w:pPr>
        <w:pStyle w:val="null3"/>
        <w:ind w:firstLine="480"/>
        <w:jc w:val="both"/>
      </w:pPr>
      <w:r>
        <w:rPr>
          <w:rFonts w:ascii="simsun" w:hAnsi="simsun" w:cs="simsun" w:eastAsia="simsun"/>
          <w:sz w:val="24"/>
        </w:rPr>
        <w:t>2.3 投标人漏报的单价或每单价报价中漏报、少报的费用，视为此项费用已隐含在总报价中，中标后不得再向采购人收取任何费用。</w:t>
      </w:r>
    </w:p>
    <w:p>
      <w:pPr>
        <w:pStyle w:val="null3"/>
        <w:ind w:firstLine="480"/>
        <w:jc w:val="both"/>
      </w:pPr>
      <w:r>
        <w:rPr>
          <w:rFonts w:ascii="simsun" w:hAnsi="simsun" w:cs="simsun" w:eastAsia="simsun"/>
          <w:sz w:val="24"/>
        </w:rPr>
        <w:t>2.4 投标人对每一种货物只能有一个报价，采购单位不接受有选择的报价。</w:t>
      </w:r>
    </w:p>
    <w:p>
      <w:pPr>
        <w:pStyle w:val="null3"/>
        <w:ind w:firstLine="480"/>
        <w:jc w:val="both"/>
      </w:pPr>
      <w:r>
        <w:rPr>
          <w:rFonts w:ascii="simsun" w:hAnsi="simsun" w:cs="simsun" w:eastAsia="simsun"/>
          <w:sz w:val="24"/>
        </w:rPr>
        <w:t>2.5 投标总价应包含货物经采购人验收合格并交付使用所有可能发生的费用，包括设备（含设备主体、辅助材料、配件）供应、运输、维护费、保险费、采购保管、安装调试、产品检验检测、操作人员培训、人工费、税收、维保费、验收费用、质保服务（含保修期内的上门服务）以及可能漏项漏报等的一切费用，采购人无需再向投标人支付其他任何费用。</w:t>
      </w:r>
    </w:p>
    <w:p>
      <w:pPr>
        <w:pStyle w:val="null3"/>
        <w:ind w:firstLine="480"/>
        <w:jc w:val="both"/>
      </w:pPr>
      <w:r>
        <w:rPr>
          <w:rFonts w:ascii="simsun" w:hAnsi="simsun" w:cs="simsun" w:eastAsia="simsun"/>
          <w:sz w:val="24"/>
        </w:rPr>
        <w:t>2.6</w:t>
      </w:r>
      <w:r>
        <w:rPr>
          <w:rFonts w:ascii="simsun" w:hAnsi="simsun" w:cs="simsun" w:eastAsia="simsun"/>
          <w:sz w:val="24"/>
        </w:rPr>
        <w:t>投标人分项报价应以本章“ 二（五）配置要求”所列清单为基础，</w:t>
      </w:r>
      <w:r>
        <w:rPr>
          <w:rFonts w:ascii="simsun" w:hAnsi="simsun" w:cs="simsun" w:eastAsia="simsun"/>
          <w:sz w:val="24"/>
        </w:rPr>
        <w:t>除软硬件设备（货物）之外的</w:t>
      </w:r>
      <w:r>
        <w:rPr>
          <w:rFonts w:ascii="simsun" w:hAnsi="simsun" w:cs="simsun" w:eastAsia="simsun"/>
          <w:sz w:val="24"/>
        </w:rPr>
        <w:t>其他诸如勘查、设计、铁塔和机房的改造、施工、检验、测试、交通、运输、验收等</w:t>
      </w:r>
      <w:r>
        <w:rPr>
          <w:rFonts w:ascii="simsun" w:hAnsi="simsun" w:cs="simsun" w:eastAsia="simsun"/>
          <w:sz w:val="24"/>
        </w:rPr>
        <w:t>一切附属、附加、配套费用</w:t>
      </w:r>
      <w:r>
        <w:rPr>
          <w:rFonts w:ascii="simsun" w:hAnsi="simsun" w:cs="simsun" w:eastAsia="simsun"/>
          <w:sz w:val="24"/>
        </w:rPr>
        <w:t>均包含在投标总价中并摊入设备</w:t>
      </w:r>
      <w:r>
        <w:rPr>
          <w:rFonts w:ascii="simsun" w:hAnsi="simsun" w:cs="simsun" w:eastAsia="simsun"/>
          <w:sz w:val="24"/>
        </w:rPr>
        <w:t>（货物）清单，不得单列。</w:t>
      </w:r>
    </w:p>
    <w:p>
      <w:pPr>
        <w:pStyle w:val="null3"/>
        <w:ind w:firstLine="480"/>
        <w:jc w:val="both"/>
      </w:pPr>
      <w:r>
        <w:rPr>
          <w:rFonts w:ascii="simsun" w:hAnsi="simsun" w:cs="simsun" w:eastAsia="simsun"/>
          <w:sz w:val="24"/>
        </w:rPr>
        <w:t>2.7</w:t>
      </w:r>
      <w:r>
        <w:rPr>
          <w:rFonts w:ascii="simsun" w:hAnsi="simsun" w:cs="simsun" w:eastAsia="simsun"/>
          <w:sz w:val="24"/>
        </w:rPr>
        <w:t xml:space="preserve"> 本项目最高限价为人民币2530000元，投标人的投标报价超过最高限价的投标无效。</w:t>
      </w:r>
    </w:p>
    <w:p>
      <w:pPr>
        <w:pStyle w:val="null3"/>
        <w:ind w:firstLine="480"/>
        <w:jc w:val="both"/>
      </w:pPr>
      <w:r>
        <w:rPr>
          <w:rFonts w:ascii="simsun" w:hAnsi="simsun" w:cs="simsun" w:eastAsia="simsun"/>
          <w:sz w:val="24"/>
        </w:rPr>
        <w:t>3.安装与调试</w:t>
      </w:r>
    </w:p>
    <w:p>
      <w:pPr>
        <w:pStyle w:val="null3"/>
        <w:ind w:firstLine="480"/>
        <w:jc w:val="both"/>
      </w:pPr>
      <w:r>
        <w:rPr>
          <w:rFonts w:ascii="simsun" w:hAnsi="simsun" w:cs="simsun" w:eastAsia="simsun"/>
          <w:sz w:val="24"/>
        </w:rPr>
        <w:t>3.1 合同签订后，中标人应在规定时间内向采购人提供详细的安装要求并提供技术咨询。</w:t>
      </w:r>
    </w:p>
    <w:p>
      <w:pPr>
        <w:pStyle w:val="null3"/>
        <w:ind w:firstLine="480"/>
        <w:jc w:val="both"/>
      </w:pPr>
      <w:r>
        <w:rPr>
          <w:rFonts w:ascii="simsun" w:hAnsi="simsun" w:cs="simsun" w:eastAsia="simsun"/>
          <w:sz w:val="24"/>
        </w:rPr>
        <w:t>3.2 由中标人负责将设备按签订合同的具体数量、具体地点运送到指定地点，中标人应在接到采购人通知后在规定时间内负责派技术人员到现场进行安装、调试，并负责调试至验收合格交付采购人使用。中标人应提供进度表，在安装、调试等全过程中接受采购人的监督。</w:t>
      </w:r>
    </w:p>
    <w:p>
      <w:pPr>
        <w:pStyle w:val="null3"/>
        <w:ind w:firstLine="480"/>
        <w:jc w:val="both"/>
      </w:pPr>
      <w:r>
        <w:rPr>
          <w:rFonts w:ascii="simsun" w:hAnsi="simsun" w:cs="simsun" w:eastAsia="simsun"/>
          <w:sz w:val="24"/>
        </w:rPr>
        <w:t>3.3 中标人负责组织专业技术人员进行货物安装调试，采购人应提供必须的基本条件和专人配合，保证各项安装工作顺利进行。</w:t>
      </w:r>
    </w:p>
    <w:p>
      <w:pPr>
        <w:pStyle w:val="null3"/>
        <w:ind w:firstLine="480"/>
        <w:jc w:val="both"/>
      </w:pPr>
      <w:r>
        <w:rPr>
          <w:rFonts w:ascii="simsun" w:hAnsi="simsun" w:cs="simsun" w:eastAsia="simsun"/>
          <w:sz w:val="24"/>
        </w:rPr>
        <w:t>3.4 设备到达采购人指定的最终现场后，中标人的工程师到现场安装设备，同时应向采购人介绍设备功能并进行现场演示。</w:t>
      </w:r>
    </w:p>
    <w:p>
      <w:pPr>
        <w:pStyle w:val="null3"/>
        <w:ind w:firstLine="480"/>
        <w:jc w:val="both"/>
      </w:pPr>
      <w:r>
        <w:rPr>
          <w:rFonts w:ascii="simsun" w:hAnsi="simsun" w:cs="simsun" w:eastAsia="simsun"/>
          <w:sz w:val="24"/>
        </w:rPr>
        <w:t>3.5 设备进场后须在接到采购人安装通知后一个月内安装调试完毕并交付使用。</w:t>
      </w:r>
    </w:p>
    <w:p>
      <w:pPr>
        <w:pStyle w:val="null3"/>
        <w:ind w:firstLine="480"/>
        <w:jc w:val="both"/>
      </w:pPr>
      <w:r>
        <w:rPr>
          <w:rFonts w:ascii="simsun" w:hAnsi="simsun" w:cs="simsun" w:eastAsia="simsun"/>
          <w:sz w:val="24"/>
        </w:rPr>
        <w:t>3.6 安装调试过程所发生的一切费用，均由中标人承担。</w:t>
      </w:r>
    </w:p>
    <w:p>
      <w:pPr>
        <w:pStyle w:val="null3"/>
        <w:ind w:firstLine="480"/>
        <w:jc w:val="both"/>
      </w:pPr>
      <w:r>
        <w:rPr>
          <w:rFonts w:ascii="simsun" w:hAnsi="simsun" w:cs="simsun" w:eastAsia="simsun"/>
          <w:sz w:val="24"/>
        </w:rPr>
        <w:t>4．运输和包装要求</w:t>
      </w:r>
    </w:p>
    <w:p>
      <w:pPr>
        <w:pStyle w:val="null3"/>
        <w:ind w:firstLine="480"/>
        <w:jc w:val="both"/>
      </w:pPr>
      <w:r>
        <w:rPr>
          <w:rFonts w:ascii="simsun" w:hAnsi="simsun" w:cs="simsun" w:eastAsia="simsun"/>
          <w:sz w:val="24"/>
        </w:rPr>
        <w:t>4.1包装：本项目如涉及商品包装、快递包装的须符合《关于印发《商品包装政府采购需求标准（试行）》、《快递包装政府采购需求标准（试行）》的通知》（财办库〔2020〕123号）文件要求。</w:t>
      </w:r>
    </w:p>
    <w:p>
      <w:pPr>
        <w:pStyle w:val="null3"/>
        <w:ind w:firstLine="480"/>
        <w:jc w:val="both"/>
      </w:pPr>
      <w:r>
        <w:rPr>
          <w:rFonts w:ascii="simsun" w:hAnsi="simsun" w:cs="simsun" w:eastAsia="simsun"/>
          <w:sz w:val="24"/>
        </w:rPr>
        <w:t>4.2包装必须与运输方式相适应，包装方式的确定及包装费用均由中标人负责；由于不适当的包装而造成货物在运输过程中有任何损坏由中标人负责。</w:t>
      </w:r>
    </w:p>
    <w:p>
      <w:pPr>
        <w:pStyle w:val="null3"/>
        <w:ind w:firstLine="480"/>
        <w:jc w:val="both"/>
      </w:pPr>
      <w:r>
        <w:rPr>
          <w:rFonts w:ascii="simsun" w:hAnsi="simsun" w:cs="simsun" w:eastAsia="simsun"/>
          <w:sz w:val="24"/>
        </w:rPr>
        <w:t>4.3包装应足以承受整个过程中的运输、转运、装卸、储存等，充分考虑到运输途中的各种情况(如暴露于恶劣气候等)和厦门地区的气候特点，以及露天存放的需要。</w:t>
      </w:r>
    </w:p>
    <w:p>
      <w:pPr>
        <w:pStyle w:val="null3"/>
        <w:ind w:firstLine="480"/>
        <w:jc w:val="both"/>
      </w:pPr>
      <w:r>
        <w:rPr>
          <w:rFonts w:ascii="simsun" w:hAnsi="simsun" w:cs="simsun" w:eastAsia="simsun"/>
          <w:sz w:val="24"/>
        </w:rPr>
        <w:t>4.4专用工具及备品备件应分别包装，并在包装箱外加以注明其用处。</w:t>
      </w:r>
    </w:p>
    <w:p>
      <w:pPr>
        <w:pStyle w:val="null3"/>
        <w:ind w:firstLine="480"/>
        <w:jc w:val="both"/>
      </w:pPr>
      <w:r>
        <w:rPr>
          <w:rFonts w:ascii="simsun" w:hAnsi="simsun" w:cs="simsun" w:eastAsia="simsun"/>
          <w:sz w:val="24"/>
        </w:rPr>
        <w:t>4.5中标人负责将所有货物送至采购指定地点并就位安装。</w:t>
      </w:r>
    </w:p>
    <w:p>
      <w:pPr>
        <w:pStyle w:val="null3"/>
        <w:ind w:firstLine="480"/>
        <w:jc w:val="both"/>
      </w:pPr>
      <w:r>
        <w:rPr>
          <w:rFonts w:ascii="simsun" w:hAnsi="simsun" w:cs="simsun" w:eastAsia="simsun"/>
          <w:sz w:val="24"/>
        </w:rPr>
        <w:t>5.验收方案</w:t>
      </w:r>
    </w:p>
    <w:p>
      <w:pPr>
        <w:pStyle w:val="null3"/>
        <w:ind w:firstLine="480"/>
        <w:jc w:val="both"/>
      </w:pPr>
      <w:r>
        <w:rPr>
          <w:rFonts w:ascii="simsun" w:hAnsi="simsun" w:cs="simsun" w:eastAsia="simsun"/>
          <w:sz w:val="24"/>
        </w:rPr>
        <w:t xml:space="preserve">5.1 </w:t>
      </w:r>
      <w:r>
        <w:rPr>
          <w:rFonts w:ascii="simsun" w:hAnsi="simsun" w:cs="simsun" w:eastAsia="simsun"/>
          <w:sz w:val="24"/>
        </w:rPr>
        <w:t>验收主体：政府采购合同采购人（甲方）；</w:t>
      </w:r>
    </w:p>
    <w:p>
      <w:pPr>
        <w:pStyle w:val="null3"/>
        <w:ind w:firstLine="480"/>
        <w:jc w:val="both"/>
      </w:pPr>
      <w:r>
        <w:rPr>
          <w:rFonts w:ascii="simsun" w:hAnsi="simsun" w:cs="simsun" w:eastAsia="simsun"/>
          <w:sz w:val="24"/>
        </w:rPr>
        <w:t xml:space="preserve">5.2 </w:t>
      </w:r>
      <w:r>
        <w:rPr>
          <w:rFonts w:ascii="simsun" w:hAnsi="simsun" w:cs="simsun" w:eastAsia="simsun"/>
          <w:sz w:val="24"/>
        </w:rPr>
        <w:t>验收环节：到货验收、初步验收（含合同验收）、竣工验收；</w:t>
      </w:r>
    </w:p>
    <w:p>
      <w:pPr>
        <w:pStyle w:val="null3"/>
        <w:ind w:firstLine="480"/>
        <w:jc w:val="both"/>
      </w:pPr>
      <w:r>
        <w:rPr>
          <w:rFonts w:ascii="simsun" w:hAnsi="simsun" w:cs="simsun" w:eastAsia="simsun"/>
          <w:sz w:val="24"/>
        </w:rPr>
        <w:t xml:space="preserve">5.3 </w:t>
      </w:r>
      <w:r>
        <w:rPr>
          <w:rFonts w:ascii="simsun" w:hAnsi="simsun" w:cs="simsun" w:eastAsia="simsun"/>
          <w:sz w:val="24"/>
        </w:rPr>
        <w:t>到货验收。依据《无线电监测设施测试验证工作规定（试行）》（工信部无﹝2017﹞283号）和《福建省工业和信息化厅关于印发无线电基础和技术设施建设项目管理办法的通知》（闽工信函频管﹝2023﹞417号）相关要求及招投标文件、合同等有关内容进行验收。验收小组由采购人、中标人的人员组成。全部货物到达中标人集成地（含检测场所）或采购人指定地点后，中标人和采购人一同对全部货物的数量、型号、基本质量进行到货点验。随同货物应提供供货证明、设备质量合格证、具有CMA或CNAS资质的第三方检测机构出具的本项目交付清单（含设备序</w:t>
      </w:r>
      <w:r>
        <w:rPr>
          <w:rFonts w:ascii="simsun" w:hAnsi="simsun" w:cs="simsun" w:eastAsia="simsun"/>
          <w:sz w:val="24"/>
        </w:rPr>
        <w:t>列号）中所列</w:t>
      </w:r>
      <w:r>
        <w:rPr>
          <w:rFonts w:ascii="simsun" w:hAnsi="simsun" w:cs="simsun" w:eastAsia="simsun"/>
          <w:sz w:val="24"/>
        </w:rPr>
        <w:t>监测接收机、测向机</w:t>
      </w:r>
      <w:r>
        <w:rPr>
          <w:rFonts w:ascii="simsun" w:hAnsi="simsun" w:cs="simsun" w:eastAsia="simsun"/>
          <w:sz w:val="24"/>
        </w:rPr>
        <w:t>正式检测报告（须提供复印件），检测费用由中标人承担。</w:t>
      </w:r>
      <w:r>
        <w:rPr>
          <w:rFonts w:ascii="simsun" w:hAnsi="simsun" w:cs="simsun" w:eastAsia="simsun"/>
          <w:sz w:val="24"/>
        </w:rPr>
        <w:t>其中第三方测试机构应由中标方初步选定并由采购人书面认可。</w:t>
      </w:r>
    </w:p>
    <w:p>
      <w:pPr>
        <w:pStyle w:val="null3"/>
        <w:ind w:firstLine="480"/>
        <w:jc w:val="left"/>
      </w:pPr>
      <w:r>
        <w:rPr>
          <w:rFonts w:ascii="simsun" w:hAnsi="simsun" w:cs="simsun" w:eastAsia="simsun"/>
          <w:sz w:val="24"/>
        </w:rPr>
        <w:t>中标人按招标文件、合同等有关内容完成货物现场安装、联网调试，可以正常运行24小时后，中标人申请进行到货验收。</w:t>
      </w:r>
    </w:p>
    <w:p>
      <w:pPr>
        <w:pStyle w:val="null3"/>
        <w:ind w:firstLine="480"/>
        <w:jc w:val="left"/>
      </w:pPr>
      <w:r>
        <w:rPr>
          <w:rFonts w:ascii="simsun" w:hAnsi="simsun" w:cs="simsun" w:eastAsia="simsun"/>
          <w:sz w:val="24"/>
        </w:rPr>
        <w:t>采购人</w:t>
      </w:r>
      <w:r>
        <w:rPr>
          <w:rFonts w:ascii="simsun" w:hAnsi="simsun" w:cs="simsun" w:eastAsia="simsun"/>
        </w:rPr>
        <w:t>在到货验收前</w:t>
      </w:r>
      <w:r>
        <w:rPr>
          <w:rFonts w:ascii="simsun" w:hAnsi="simsun" w:cs="simsun" w:eastAsia="simsun"/>
          <w:sz w:val="24"/>
        </w:rPr>
        <w:t>有权委托具有CMA或CNAS资质的第三方检测结构对部分指标进行抽测，并以抽测结果是否合格作为是否进行验收的依据。测试验证、指标抽测等性能测试费用由中标人承担，含在投标总价中。</w:t>
      </w:r>
    </w:p>
    <w:p>
      <w:pPr>
        <w:pStyle w:val="null3"/>
        <w:jc w:val="left"/>
      </w:pPr>
      <w:r>
        <w:rPr>
          <w:rFonts w:ascii="simsun" w:hAnsi="simsun" w:cs="simsun" w:eastAsia="simsun"/>
          <w:sz w:val="24"/>
        </w:rPr>
        <w:t>到货验收如果不合格，中标人进行为期15个日历日的整改后再次组织到货验收。再次到货验收不合格的，采购人有权解除采购合同且履约保证金不予退还，要求中标人赔偿损失以及保留更换中标人或重新组织政府采购的权力，并将相关情况报相关行政主管部门处理。</w:t>
      </w:r>
    </w:p>
    <w:p>
      <w:pPr>
        <w:pStyle w:val="null3"/>
        <w:ind w:firstLine="480"/>
        <w:jc w:val="both"/>
      </w:pPr>
      <w:r>
        <w:rPr>
          <w:rFonts w:ascii="simsun" w:hAnsi="simsun" w:cs="simsun" w:eastAsia="simsun"/>
          <w:sz w:val="24"/>
        </w:rPr>
        <w:t xml:space="preserve">5.4 </w:t>
      </w:r>
      <w:r>
        <w:rPr>
          <w:rFonts w:ascii="simsun" w:hAnsi="simsun" w:cs="simsun" w:eastAsia="simsun"/>
          <w:sz w:val="24"/>
        </w:rPr>
        <w:t>初步验收（含合同验收）。到货验收合格后，采购人按照国家无线电管理（技术）机构规定及《福建省工业和信息化厅关于印发无线电基础和技术设施建设项目管理办法的通知》（闽工信函频管﹝2023﹞417号）要求组织专家组对项目进行初步验收。</w:t>
      </w:r>
    </w:p>
    <w:p>
      <w:pPr>
        <w:pStyle w:val="null3"/>
        <w:ind w:firstLine="480"/>
        <w:jc w:val="both"/>
      </w:pPr>
      <w:r>
        <w:rPr>
          <w:rFonts w:ascii="simsun" w:hAnsi="simsun" w:cs="simsun" w:eastAsia="simsun"/>
          <w:sz w:val="24"/>
        </w:rPr>
        <w:t>一体化设备操作服务（原子化服务封装）建设内容应按照《省级无线电管理一体化平台建设规范》（国无办〔2019〕37号）文件要求，提供具有CMA或CNAS资质的第三方测试机构出具的协议符合性测试报告，其中第三方测试机构应由中标人初步选定并由采购人书面认可，相关测试费用均由中标人承担。软件功能采取现场操作比对和测试指标比对的方式验收。</w:t>
      </w:r>
    </w:p>
    <w:p>
      <w:pPr>
        <w:pStyle w:val="null3"/>
        <w:ind w:firstLine="480"/>
        <w:jc w:val="both"/>
      </w:pPr>
      <w:r>
        <w:rPr>
          <w:rFonts w:ascii="simsun" w:hAnsi="simsun" w:cs="simsun" w:eastAsia="simsun"/>
          <w:sz w:val="24"/>
        </w:rPr>
        <w:t>初步验收前，要求对各个单项功能进行逐项检验和系统总体测试，均达到标书所要求的系统功能，并实现系统正常运行。中标人应负责在验收时将系统的全部有关技术文件、资料及安装、测试报告等文档汇集成册交付采购人。</w:t>
      </w:r>
    </w:p>
    <w:p>
      <w:pPr>
        <w:pStyle w:val="null3"/>
        <w:ind w:firstLine="480"/>
        <w:jc w:val="both"/>
      </w:pPr>
      <w:r>
        <w:rPr>
          <w:rFonts w:ascii="simsun" w:hAnsi="simsun" w:cs="simsun" w:eastAsia="simsun"/>
          <w:sz w:val="24"/>
        </w:rPr>
        <w:t>初步验收不合格的，中标人进行为期15个日历日的整改后再次组织验收。再次初步验收不合格的，采购人有权废止采购合同且履约保证金不予退还，要求中标人赔偿损失以及保留更换中标人或重新组织政府采购的权力，并将相关情况报相关行政主管部门处理。</w:t>
      </w:r>
    </w:p>
    <w:p>
      <w:pPr>
        <w:pStyle w:val="null3"/>
        <w:ind w:firstLine="480"/>
        <w:jc w:val="both"/>
      </w:pPr>
      <w:r>
        <w:rPr>
          <w:rFonts w:ascii="simsun" w:hAnsi="simsun" w:cs="simsun" w:eastAsia="simsun"/>
          <w:sz w:val="24"/>
        </w:rPr>
        <w:t xml:space="preserve">5.5 </w:t>
      </w:r>
      <w:r>
        <w:rPr>
          <w:rFonts w:ascii="simsun" w:hAnsi="simsun" w:cs="simsun" w:eastAsia="simsun"/>
          <w:sz w:val="24"/>
        </w:rPr>
        <w:t>试运行。初步验收合格后，中标人需与采购人进行交接工作，授与采购人相关知识专题培训，进入试运行期，开展30*24小时连续试运行，试运行期间系统集成核心设备及功能连续30天无故障的，由中标人书面提出竣工验收申请。在试运行期间，出现重大故障，如：系统崩溃、招标文件技术要求中列入的主要功能不能实现以及存在致使系统不能正常工作的缺陷，则试运行期从故障修复之日起重新计算，顺延一个月。</w:t>
      </w:r>
    </w:p>
    <w:p>
      <w:pPr>
        <w:pStyle w:val="null3"/>
        <w:ind w:firstLine="480"/>
        <w:jc w:val="both"/>
      </w:pPr>
      <w:r>
        <w:rPr>
          <w:rFonts w:ascii="simsun" w:hAnsi="simsun" w:cs="simsun" w:eastAsia="simsun"/>
          <w:sz w:val="24"/>
        </w:rPr>
        <w:t xml:space="preserve">5.6 </w:t>
      </w:r>
      <w:r>
        <w:rPr>
          <w:rFonts w:ascii="simsun" w:hAnsi="simsun" w:cs="simsun" w:eastAsia="simsun"/>
          <w:sz w:val="24"/>
        </w:rPr>
        <w:t>竣工验收。试运行期满后，中标人需按照国家无线电管理（技术）机构规定及《福建省工业和信息化厅关于印发无线电基础和技术设施建设项目管理办法的通知》（闽工信函频管﹝2023﹞417号）要求，提交完备的项目竣工相关文档（包括但不限于设备的安装、运行、使用、测试、诊断、软硬件设备的安装指南和维修的技术文件）、备份的资料、采集的数据（如实施文档、配置文档、拓扑图、施工效果图等）等材料，交由采购人组织专家组进行竣工验收。</w:t>
      </w:r>
    </w:p>
    <w:p>
      <w:pPr>
        <w:pStyle w:val="null3"/>
        <w:ind w:firstLine="480"/>
        <w:jc w:val="both"/>
      </w:pPr>
      <w:r>
        <w:rPr>
          <w:rFonts w:ascii="simsun" w:hAnsi="simsun" w:cs="simsun" w:eastAsia="simsun"/>
          <w:sz w:val="24"/>
        </w:rPr>
        <w:t xml:space="preserve">5.7 </w:t>
      </w:r>
      <w:r>
        <w:rPr>
          <w:rFonts w:ascii="simsun" w:hAnsi="simsun" w:cs="simsun" w:eastAsia="simsun"/>
          <w:sz w:val="24"/>
        </w:rPr>
        <w:t>验收标准：招标文件、投标文件、采购合同约定的标的及其功能、性能及技术指标等；未约定的，应当符合国家强制性规定、政策要求、安全标准、行业或企业有关标准等。</w:t>
      </w:r>
    </w:p>
    <w:p>
      <w:pPr>
        <w:pStyle w:val="null3"/>
        <w:ind w:firstLine="480"/>
        <w:jc w:val="both"/>
      </w:pPr>
      <w:r>
        <w:rPr>
          <w:rFonts w:ascii="simsun" w:hAnsi="simsun" w:cs="simsun" w:eastAsia="simsun"/>
          <w:sz w:val="24"/>
        </w:rPr>
        <w:t>验收达不到标准的，中标人必须予以调换全新产品，并且赔偿由此给采购人造成的损失。</w:t>
      </w:r>
    </w:p>
    <w:p>
      <w:pPr>
        <w:pStyle w:val="null3"/>
        <w:ind w:firstLine="480"/>
        <w:jc w:val="both"/>
      </w:pPr>
      <w:r>
        <w:rPr>
          <w:rFonts w:ascii="simsun" w:hAnsi="simsun" w:cs="simsun" w:eastAsia="simsun"/>
          <w:sz w:val="24"/>
        </w:rPr>
        <w:t xml:space="preserve">5.8 </w:t>
      </w:r>
      <w:r>
        <w:rPr>
          <w:rFonts w:ascii="simsun" w:hAnsi="simsun" w:cs="simsun" w:eastAsia="simsun"/>
          <w:sz w:val="24"/>
        </w:rPr>
        <w:t>各验收环节所涉及的费用，包含且不限于交通运输、安装、测试、专家评审等，均由中标人承担。</w:t>
      </w:r>
    </w:p>
    <w:p>
      <w:pPr>
        <w:pStyle w:val="null3"/>
        <w:ind w:firstLine="480"/>
        <w:jc w:val="both"/>
      </w:pPr>
      <w:r>
        <w:rPr>
          <w:rFonts w:ascii="simsun" w:hAnsi="simsun" w:cs="simsun" w:eastAsia="simsun"/>
          <w:sz w:val="24"/>
        </w:rPr>
        <w:t>6.培训要求</w:t>
      </w:r>
    </w:p>
    <w:p>
      <w:pPr>
        <w:pStyle w:val="null3"/>
        <w:ind w:firstLine="480"/>
        <w:jc w:val="both"/>
      </w:pPr>
      <w:r>
        <w:rPr>
          <w:rFonts w:ascii="simsun" w:hAnsi="simsun" w:cs="simsun" w:eastAsia="simsun"/>
          <w:sz w:val="24"/>
        </w:rPr>
        <w:t xml:space="preserve">6.1 </w:t>
      </w:r>
      <w:r>
        <w:rPr>
          <w:rFonts w:ascii="simsun" w:hAnsi="simsun" w:cs="simsun" w:eastAsia="simsun"/>
          <w:sz w:val="24"/>
        </w:rPr>
        <w:t>中标人负责制定培训计划（包括培训方式、培训内容、培训时间等），为采购方培训技术人员。其费用包括在投标价格内。</w:t>
      </w:r>
    </w:p>
    <w:p>
      <w:pPr>
        <w:pStyle w:val="null3"/>
        <w:ind w:firstLine="480"/>
        <w:jc w:val="both"/>
      </w:pPr>
      <w:r>
        <w:rPr>
          <w:rFonts w:ascii="simsun" w:hAnsi="simsun" w:cs="simsun" w:eastAsia="simsun"/>
          <w:sz w:val="24"/>
        </w:rPr>
        <w:t>7.合同签订</w:t>
      </w:r>
    </w:p>
    <w:p>
      <w:pPr>
        <w:pStyle w:val="null3"/>
        <w:ind w:firstLine="480"/>
        <w:jc w:val="both"/>
      </w:pPr>
      <w:r>
        <w:rPr>
          <w:rFonts w:ascii="simsun" w:hAnsi="simsun" w:cs="simsun" w:eastAsia="simsun"/>
          <w:sz w:val="24"/>
        </w:rPr>
        <w:t>7.1 中标人接到《中标通知书》后2个工作日内，持《中标通知书》与采购人联系合同签订等相关事宜。招标文件条款、投标人的投标文件内容均为合同签订的基础。</w:t>
      </w:r>
    </w:p>
    <w:p>
      <w:pPr>
        <w:pStyle w:val="null3"/>
        <w:ind w:firstLine="480"/>
        <w:jc w:val="both"/>
      </w:pPr>
      <w:r>
        <w:rPr>
          <w:rFonts w:ascii="simsun" w:hAnsi="simsun" w:cs="simsun" w:eastAsia="simsun"/>
          <w:sz w:val="24"/>
        </w:rPr>
        <w:t>7.2 中标人如未在规定时间内签订合同的，视为自动放弃中标资格，且应承担因违约造成的采购人的损失。</w:t>
      </w:r>
    </w:p>
    <w:p>
      <w:pPr>
        <w:pStyle w:val="null3"/>
        <w:ind w:firstLine="480"/>
        <w:jc w:val="both"/>
      </w:pPr>
      <w:r>
        <w:rPr>
          <w:rFonts w:ascii="simsun" w:hAnsi="simsun" w:cs="simsun" w:eastAsia="simsun"/>
          <w:sz w:val="24"/>
        </w:rPr>
        <w:t>8.其他要求</w:t>
      </w:r>
    </w:p>
    <w:p>
      <w:pPr>
        <w:pStyle w:val="null3"/>
        <w:ind w:firstLine="480"/>
        <w:jc w:val="both"/>
      </w:pPr>
      <w:r>
        <w:rPr>
          <w:rFonts w:ascii="simsun" w:hAnsi="simsun" w:cs="simsun" w:eastAsia="simsun"/>
          <w:sz w:val="24"/>
        </w:rPr>
        <w:t>8.1 提供证明材料的技术参数要和证明材料有明确对应关系并标注，以利于评委审阅。</w:t>
      </w:r>
    </w:p>
    <w:p>
      <w:pPr>
        <w:pStyle w:val="null3"/>
        <w:ind w:firstLine="480"/>
        <w:jc w:val="both"/>
      </w:pPr>
      <w:r>
        <w:rPr>
          <w:rFonts w:ascii="simsun" w:hAnsi="simsun" w:cs="simsun" w:eastAsia="simsun"/>
          <w:sz w:val="24"/>
        </w:rPr>
        <w:t>★8.2 ①接收机的监测性能指标，投标时需提供第三方检测机构按GB/T32401-2015《VHF/UHF频段无线电监测接收机技术要求及测试方法》出具的相同型号正式检测报告（须提供扫描件），报告内容需包括但不限于监测灵敏度、解调灵敏度、频率准确度、二阶截断点、三阶截断点、中频干扰抑制比、镜频干扰抑制比、接收机杂散发射和扫描速度等指标的测试结果数据。</w:t>
      </w:r>
    </w:p>
    <w:p>
      <w:pPr>
        <w:pStyle w:val="null3"/>
        <w:ind w:firstLine="480"/>
        <w:jc w:val="both"/>
      </w:pPr>
      <w:r>
        <w:rPr>
          <w:rFonts w:ascii="simsun" w:hAnsi="simsun" w:cs="simsun" w:eastAsia="simsun"/>
          <w:sz w:val="24"/>
        </w:rPr>
        <w:t>②监测测向系统（监测测向接收机及监测测向天线）的性能指标，投标时需提供第三方检测机构按GB/T34089-2017《VHF/UHF无线电监测测向系统开场测试参数和测试方法》或2015-0709T-YD《基于空间谱估计的VHFUHF无线电测向系统开场测试参数和测试方法》或YD/T3811-2020《3GHz-12.75GHz频段无线电监测测向系统测试方法》出具的相同型号正式检测报告（须提供扫描件），报告内容需包括但不限于监测灵敏度、测向灵敏度、场强测量精度（误差）、测向精度、瞬时信号监测能力、瞬时信号测向能力、天馈系统驻波比、测向分辨率、测向来波数目等指标的测试结果数据。</w:t>
      </w:r>
    </w:p>
    <w:p>
      <w:pPr>
        <w:pStyle w:val="null3"/>
        <w:ind w:firstLine="480"/>
        <w:jc w:val="both"/>
      </w:pPr>
      <w:r>
        <w:rPr>
          <w:rFonts w:ascii="simsun" w:hAnsi="simsun" w:cs="simsun" w:eastAsia="simsun"/>
          <w:sz w:val="24"/>
        </w:rPr>
        <w:t>③性能测试</w:t>
      </w:r>
      <w:r>
        <w:rPr>
          <w:rFonts w:ascii="simsun" w:hAnsi="simsun" w:cs="simsun" w:eastAsia="simsun"/>
        </w:rPr>
        <w:t>。</w:t>
      </w:r>
      <w:r>
        <w:rPr>
          <w:rFonts w:ascii="simsun" w:hAnsi="simsun" w:cs="simsun" w:eastAsia="simsun"/>
          <w:b/>
        </w:rPr>
        <w:t>投标人须承诺：</w:t>
      </w:r>
      <w:r>
        <w:rPr>
          <w:rFonts w:ascii="simsun" w:hAnsi="simsun" w:cs="simsun" w:eastAsia="simsun"/>
          <w:sz w:val="24"/>
        </w:rPr>
        <w:t>在到货验收前中标人委托</w:t>
      </w:r>
      <w:r>
        <w:rPr>
          <w:rFonts w:ascii="simsun" w:hAnsi="simsun" w:cs="simsun" w:eastAsia="simsun"/>
          <w:b/>
        </w:rPr>
        <w:t>（采购人书面认可的）</w:t>
      </w:r>
      <w:r>
        <w:rPr>
          <w:rFonts w:ascii="simsun" w:hAnsi="simsun" w:cs="simsun" w:eastAsia="simsun"/>
          <w:sz w:val="24"/>
        </w:rPr>
        <w:t>第三方检测机构按上述</w:t>
      </w:r>
      <w:r>
        <w:rPr>
          <w:rFonts w:ascii="simsun" w:hAnsi="simsun" w:cs="simsun" w:eastAsia="simsun"/>
          <w:sz w:val="24"/>
          <w:b/>
        </w:rPr>
        <w:t>①、②</w:t>
      </w:r>
      <w:r>
        <w:rPr>
          <w:rFonts w:ascii="simsun" w:hAnsi="simsun" w:cs="simsun" w:eastAsia="simsun"/>
          <w:sz w:val="24"/>
        </w:rPr>
        <w:t>要求出具的本项目（对应的型号、序列号）正式检测报告和无线电监测管理一体化平台标准符合性相关报告。</w:t>
      </w:r>
      <w:r>
        <w:rPr>
          <w:rFonts w:ascii="simsun" w:hAnsi="simsun" w:cs="simsun" w:eastAsia="simsun"/>
          <w:sz w:val="24"/>
          <w:b/>
        </w:rPr>
        <w:t>投标人须提供第三方检验（检测）机构出具的带有CMA或CNAS标识的有效检验（检测）报告复印件并加盖投标人公章。</w:t>
      </w:r>
    </w:p>
    <w:p>
      <w:pPr>
        <w:pStyle w:val="null3"/>
        <w:ind w:firstLine="480"/>
        <w:jc w:val="both"/>
      </w:pPr>
      <w:r>
        <w:rPr>
          <w:rFonts w:ascii="simsun" w:hAnsi="simsun" w:cs="simsun" w:eastAsia="simsun"/>
          <w:sz w:val="24"/>
          <w:b/>
          <w:u w:val="single"/>
        </w:rPr>
        <w:t>④</w:t>
      </w:r>
      <w:r>
        <w:rPr>
          <w:rFonts w:ascii="simsun" w:hAnsi="simsun" w:cs="simsun" w:eastAsia="simsun"/>
          <w:sz w:val="24"/>
          <w:b/>
          <w:u w:val="single"/>
        </w:rPr>
        <w:t>测试项目。</w:t>
      </w:r>
      <w:r>
        <w:rPr>
          <w:rFonts w:ascii="simsun" w:hAnsi="simsun" w:cs="simsun" w:eastAsia="simsun"/>
          <w:sz w:val="24"/>
          <w:b/>
          <w:u w:val="single"/>
        </w:rPr>
        <w:t>测试项目范围</w:t>
      </w:r>
      <w:r>
        <w:rPr>
          <w:rFonts w:ascii="simsun" w:hAnsi="simsun" w:cs="simsun" w:eastAsia="simsun"/>
          <w:sz w:val="24"/>
          <w:b/>
          <w:u w:val="single"/>
        </w:rPr>
        <w:t>由采购人</w:t>
      </w:r>
      <w:r>
        <w:rPr>
          <w:rFonts w:ascii="simsun" w:hAnsi="simsun" w:cs="simsun" w:eastAsia="simsun"/>
          <w:sz w:val="24"/>
          <w:b/>
          <w:u w:val="single"/>
        </w:rPr>
        <w:t>到货验收前</w:t>
      </w:r>
      <w:r>
        <w:rPr>
          <w:rFonts w:ascii="simsun" w:hAnsi="simsun" w:cs="simsun" w:eastAsia="simsun"/>
          <w:sz w:val="24"/>
          <w:b/>
          <w:u w:val="single"/>
        </w:rPr>
        <w:t>书面通知中标人。</w:t>
      </w:r>
    </w:p>
    <w:p>
      <w:pPr>
        <w:pStyle w:val="null3"/>
        <w:ind w:firstLine="480"/>
        <w:jc w:val="both"/>
      </w:pPr>
      <w:r>
        <w:rPr>
          <w:rFonts w:ascii="simsun" w:hAnsi="simsun" w:cs="simsun" w:eastAsia="simsun"/>
          <w:sz w:val="24"/>
          <w:b/>
        </w:rPr>
        <w:t>9.招标文件附件</w:t>
      </w:r>
    </w:p>
    <w:p>
      <w:pPr>
        <w:pStyle w:val="null3"/>
        <w:ind w:firstLine="480"/>
        <w:jc w:val="both"/>
      </w:pPr>
      <w:r>
        <w:rPr>
          <w:rFonts w:ascii="simsun" w:hAnsi="simsun" w:cs="simsun" w:eastAsia="simsun"/>
          <w:sz w:val="24"/>
          <w:b/>
        </w:rPr>
        <w:t>附件1：资格承诺函</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simsun" w:hAnsi="simsun" w:cs="simsun" w:eastAsia="simsun"/>
                <w:sz w:val="24"/>
              </w:rPr>
              <w:t>资格承诺函</w:t>
            </w:r>
          </w:p>
          <w:p>
            <w:pPr>
              <w:pStyle w:val="null3"/>
              <w:ind w:firstLine="480"/>
              <w:jc w:val="both"/>
            </w:pPr>
            <w:r>
              <w:rPr>
                <w:rFonts w:ascii="simsun" w:hAnsi="simsun" w:cs="simsun" w:eastAsia="simsun"/>
                <w:sz w:val="24"/>
              </w:rPr>
              <w:t>致：</w:t>
            </w:r>
            <w:r>
              <w:rPr>
                <w:rFonts w:ascii="simsun" w:hAnsi="simsun" w:cs="simsun" w:eastAsia="simsun"/>
                <w:sz w:val="24"/>
                <w:i/>
                <w:u w:val="single"/>
              </w:rPr>
              <w:t>（采购人、采购代理机构）</w:t>
            </w:r>
          </w:p>
          <w:p>
            <w:pPr>
              <w:pStyle w:val="null3"/>
              <w:ind w:firstLine="435"/>
              <w:jc w:val="both"/>
            </w:pPr>
            <w:r>
              <w:rPr>
                <w:rFonts w:ascii="simsun" w:hAnsi="simsun" w:cs="simsun" w:eastAsia="simsun"/>
                <w:sz w:val="24"/>
              </w:rPr>
              <w:t>我单位参与</w:t>
            </w:r>
            <w:r>
              <w:rPr>
                <w:rFonts w:ascii="simsun" w:hAnsi="simsun" w:cs="simsun" w:eastAsia="simsun"/>
                <w:sz w:val="24"/>
                <w:u w:val="single"/>
              </w:rPr>
              <w:t xml:space="preserve">  （</w:t>
            </w:r>
            <w:r>
              <w:rPr>
                <w:rFonts w:ascii="simsun" w:hAnsi="simsun" w:cs="simsun" w:eastAsia="simsun"/>
                <w:sz w:val="24"/>
                <w:i/>
                <w:u w:val="single"/>
              </w:rPr>
              <w:t>项目名称</w:t>
            </w:r>
            <w:r>
              <w:rPr>
                <w:rFonts w:ascii="simsun" w:hAnsi="simsun" w:cs="simsun" w:eastAsia="simsun"/>
                <w:sz w:val="24"/>
                <w:u w:val="single"/>
              </w:rPr>
              <w:t>）  （项目编号：    ）</w:t>
            </w:r>
            <w:r>
              <w:rPr>
                <w:rFonts w:ascii="simsun" w:hAnsi="simsun" w:cs="simsun" w:eastAsia="simsun"/>
                <w:sz w:val="24"/>
              </w:rPr>
              <w:t>项目的政府采购活动，现承诺如下：</w:t>
            </w:r>
          </w:p>
          <w:p>
            <w:pPr>
              <w:pStyle w:val="null3"/>
              <w:ind w:firstLine="435"/>
              <w:jc w:val="both"/>
            </w:pPr>
            <w:r>
              <w:rPr>
                <w:rFonts w:ascii="simsun" w:hAnsi="simsun" w:cs="simsun" w:eastAsia="simsun"/>
                <w:sz w:val="24"/>
              </w:rPr>
              <w:t>1.我单位具有符合采购文件资格要求的财务状况报告。</w:t>
            </w:r>
          </w:p>
          <w:p>
            <w:pPr>
              <w:pStyle w:val="null3"/>
              <w:ind w:firstLine="435"/>
              <w:jc w:val="both"/>
            </w:pPr>
            <w:r>
              <w:rPr>
                <w:rFonts w:ascii="simsun" w:hAnsi="simsun" w:cs="simsun" w:eastAsia="simsun"/>
                <w:sz w:val="24"/>
              </w:rPr>
              <w:t>2.我单位具有符合采购文件资格要求的依法缴纳税收的相关证明材料。</w:t>
            </w:r>
          </w:p>
          <w:p>
            <w:pPr>
              <w:pStyle w:val="null3"/>
              <w:ind w:firstLine="435"/>
              <w:jc w:val="both"/>
            </w:pPr>
            <w:r>
              <w:rPr>
                <w:rFonts w:ascii="simsun" w:hAnsi="simsun" w:cs="simsun" w:eastAsia="simsun"/>
                <w:sz w:val="24"/>
              </w:rPr>
              <w:t>3.我单位具有符合采购文件资格要求的依法缴纳社会保障资金的相关证明材料。</w:t>
            </w:r>
          </w:p>
          <w:p>
            <w:pPr>
              <w:pStyle w:val="null3"/>
              <w:ind w:firstLine="435"/>
              <w:jc w:val="both"/>
            </w:pPr>
            <w:r>
              <w:rPr>
                <w:rFonts w:ascii="simsun" w:hAnsi="simsun" w:cs="simsun" w:eastAsia="simsun"/>
                <w:sz w:val="24"/>
              </w:rPr>
              <w:t>若我单位承诺不实，自愿承担提供虚假材料谋取中标、成交的法律责任。</w:t>
            </w:r>
          </w:p>
          <w:p>
            <w:pPr>
              <w:pStyle w:val="null3"/>
              <w:ind w:firstLine="435"/>
              <w:jc w:val="both"/>
            </w:pPr>
            <w:r>
              <w:rPr>
                <w:rFonts w:ascii="simsun" w:hAnsi="simsun" w:cs="simsun" w:eastAsia="simsun"/>
                <w:sz w:val="24"/>
              </w:rPr>
              <w:t>承诺投标人（全称并加盖公章）：</w:t>
            </w:r>
          </w:p>
          <w:p>
            <w:pPr>
              <w:pStyle w:val="null3"/>
              <w:ind w:firstLine="435"/>
              <w:jc w:val="both"/>
            </w:pPr>
            <w:r>
              <w:rPr>
                <w:rFonts w:ascii="simsun" w:hAnsi="simsun" w:cs="simsun" w:eastAsia="simsun"/>
                <w:sz w:val="24"/>
              </w:rPr>
              <w:t>单位负责人或授权代表（签字）：</w:t>
            </w:r>
          </w:p>
          <w:p>
            <w:pPr>
              <w:pStyle w:val="null3"/>
              <w:ind w:firstLine="435"/>
              <w:jc w:val="both"/>
            </w:pPr>
            <w:r>
              <w:rPr>
                <w:rFonts w:ascii="simsun" w:hAnsi="simsun" w:cs="simsun" w:eastAsia="simsun"/>
                <w:sz w:val="24"/>
              </w:rPr>
              <w:t>日期：</w:t>
            </w:r>
          </w:p>
          <w:p>
            <w:pPr>
              <w:pStyle w:val="null3"/>
              <w:ind w:firstLine="480"/>
              <w:jc w:val="both"/>
            </w:pPr>
            <w:r>
              <w:rPr>
                <w:rFonts w:ascii="simsun" w:hAnsi="simsun" w:cs="simsun" w:eastAsia="simsun"/>
                <w:sz w:val="24"/>
              </w:rPr>
              <w:t>﹍﹍﹍﹍﹍﹍﹍﹍﹍﹍﹍﹍﹍﹍﹍﹍﹍﹍﹍﹍﹍﹍﹍﹍﹍﹍﹍﹍﹍﹍﹍﹍﹍</w:t>
            </w:r>
          </w:p>
          <w:p>
            <w:pPr>
              <w:pStyle w:val="null3"/>
              <w:ind w:firstLine="480"/>
              <w:jc w:val="both"/>
            </w:pPr>
            <w:r>
              <w:rPr>
                <w:rFonts w:ascii="simsun" w:hAnsi="simsun" w:cs="simsun" w:eastAsia="simsun"/>
                <w:sz w:val="24"/>
              </w:rPr>
              <w:t>说明：1.投标人可自行选择是否提供本承诺函，若不提供本承诺函的，应按采购文件要求提供相应的证明材料。</w:t>
            </w:r>
          </w:p>
          <w:p>
            <w:pPr>
              <w:pStyle w:val="null3"/>
              <w:ind w:firstLine="480"/>
              <w:jc w:val="both"/>
            </w:pPr>
            <w:r>
              <w:rPr>
                <w:rFonts w:ascii="simsun" w:hAnsi="simsun" w:cs="simsun" w:eastAsia="simsun"/>
                <w:sz w:val="24"/>
              </w:rPr>
              <w:t>2.投标人可删减承诺事项，如删去承诺第1项的，则应按采购文件要求提供财务状况报告。</w:t>
            </w:r>
          </w:p>
        </w:tc>
      </w:tr>
    </w:tbl>
    <w:p>
      <w:pPr>
        <w:pStyle w:val="null3"/>
        <w:ind w:firstLine="482"/>
        <w:jc w:val="both"/>
      </w:pPr>
      <w:r>
        <w:rPr>
          <w:rFonts w:ascii="simsun" w:hAnsi="simsun" w:cs="simsun" w:eastAsia="simsun"/>
          <w:sz w:val="24"/>
          <w:b/>
        </w:rPr>
        <w:t>附件2：中小企业声明函</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simsun" w:hAnsi="simsun" w:cs="simsun" w:eastAsia="simsun"/>
                <w:sz w:val="24"/>
                <w:b/>
              </w:rPr>
              <w:t>中小企业声明函（货物）</w:t>
            </w:r>
          </w:p>
          <w:p>
            <w:pPr>
              <w:pStyle w:val="null3"/>
              <w:ind w:firstLine="420"/>
              <w:jc w:val="both"/>
            </w:pPr>
            <w:r>
              <w:rPr>
                <w:rFonts w:ascii="simsun" w:hAnsi="simsun" w:cs="simsun" w:eastAsia="simsun"/>
                <w:sz w:val="24"/>
              </w:rPr>
              <w:t xml:space="preserve">    本公司郑重声明，根据《政府采购促进中小企业发展管理办法》（财库﹝2020﹞46 号）的规定，本公司参加</w:t>
            </w:r>
            <w:r>
              <w:rPr>
                <w:rFonts w:ascii="simsun" w:hAnsi="simsun" w:cs="simsun" w:eastAsia="simsun"/>
                <w:sz w:val="24"/>
                <w:b/>
                <w:u w:val="single"/>
              </w:rPr>
              <w:t>厦门市无线电管理局</w:t>
            </w:r>
            <w:r>
              <w:rPr>
                <w:rFonts w:ascii="simsun" w:hAnsi="simsun" w:cs="simsun" w:eastAsia="simsun"/>
                <w:sz w:val="24"/>
              </w:rPr>
              <w:t>的</w:t>
            </w:r>
            <w:r>
              <w:rPr>
                <w:rFonts w:ascii="simsun" w:hAnsi="simsun" w:cs="simsun" w:eastAsia="simsun"/>
                <w:sz w:val="24"/>
                <w:b/>
                <w:u w:val="single"/>
              </w:rPr>
              <w:t>厦门北站新建二类固定站</w:t>
            </w:r>
            <w:r>
              <w:rPr>
                <w:rFonts w:ascii="simsun" w:hAnsi="simsun" w:cs="simsun" w:eastAsia="simsun"/>
                <w:sz w:val="24"/>
              </w:rPr>
              <w:t>采购活动，提供的货物全部由符合政策要求的中小企业制造。相关企业的具体情况如下：</w:t>
            </w:r>
          </w:p>
          <w:p>
            <w:pPr>
              <w:pStyle w:val="null3"/>
              <w:spacing w:before="45" w:after="45"/>
              <w:ind w:firstLine="285"/>
              <w:jc w:val="both"/>
            </w:pPr>
            <w:r>
              <w:rPr>
                <w:rFonts w:ascii="simsun" w:hAnsi="simsun" w:cs="simsun" w:eastAsia="simsun"/>
                <w:sz w:val="20"/>
              </w:rPr>
              <w:t>1.</w:t>
            </w:r>
            <w:r>
              <w:rPr>
                <w:rFonts w:ascii="simsun" w:hAnsi="simsun" w:cs="simsun" w:eastAsia="simsun"/>
                <w:sz w:val="20"/>
                <w:b/>
                <w:u w:val="single"/>
              </w:rPr>
              <w:t>（</w:t>
            </w:r>
            <w:r>
              <w:rPr>
                <w:rFonts w:ascii="simsun" w:hAnsi="simsun" w:cs="simsun" w:eastAsia="simsun"/>
                <w:sz w:val="19"/>
                <w:b/>
                <w:u w:val="single"/>
              </w:rPr>
              <w:t>监测天线</w:t>
            </w:r>
            <w:r>
              <w:rPr>
                <w:rFonts w:ascii="simsun" w:hAnsi="simsun" w:cs="simsun" w:eastAsia="simsun"/>
                <w:sz w:val="20"/>
                <w:b/>
                <w:u w:val="single"/>
              </w:rPr>
              <w:t>）</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20"/>
              </w:rPr>
              <w:t>2.</w:t>
            </w:r>
            <w:r>
              <w:rPr>
                <w:rFonts w:ascii="simsun" w:hAnsi="simsun" w:cs="simsun" w:eastAsia="simsun"/>
                <w:sz w:val="20"/>
                <w:b/>
                <w:u w:val="single"/>
              </w:rPr>
              <w:t>（双极化测向天线）</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20"/>
              </w:rPr>
              <w:t>3.</w:t>
            </w:r>
            <w:r>
              <w:rPr>
                <w:rFonts w:ascii="simsun" w:hAnsi="simsun" w:cs="simsun" w:eastAsia="simsun"/>
                <w:sz w:val="20"/>
                <w:b/>
                <w:u w:val="single"/>
              </w:rPr>
              <w:t>（天馈系统配套设施）</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20"/>
              </w:rPr>
              <w:t>4.</w:t>
            </w:r>
            <w:r>
              <w:rPr>
                <w:rFonts w:ascii="simsun" w:hAnsi="simsun" w:cs="simsun" w:eastAsia="simsun"/>
                <w:sz w:val="20"/>
                <w:b/>
                <w:u w:val="single"/>
              </w:rPr>
              <w:t>（宽带监测接收机）</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20"/>
              </w:rPr>
              <w:t>5.</w:t>
            </w:r>
            <w:r>
              <w:rPr>
                <w:rFonts w:ascii="simsun" w:hAnsi="simsun" w:cs="simsun" w:eastAsia="simsun"/>
                <w:sz w:val="20"/>
                <w:b/>
                <w:u w:val="single"/>
              </w:rPr>
              <w:t>（测向接收机）</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6.</w:t>
            </w:r>
            <w:r>
              <w:rPr>
                <w:rFonts w:ascii="simsun" w:hAnsi="simsun" w:cs="simsun" w:eastAsia="simsun"/>
                <w:sz w:val="20"/>
                <w:b/>
                <w:u w:val="single"/>
              </w:rPr>
              <w:t>（数字信号监测设备）</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7.</w:t>
            </w:r>
            <w:r>
              <w:rPr>
                <w:rFonts w:ascii="simsun" w:hAnsi="simsun" w:cs="simsun" w:eastAsia="simsun"/>
                <w:sz w:val="20"/>
                <w:b/>
                <w:u w:val="single"/>
              </w:rPr>
              <w:t>（GSM-R专用监测接收机）</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8.</w:t>
            </w:r>
            <w:r>
              <w:rPr>
                <w:rFonts w:ascii="simsun" w:hAnsi="simsun" w:cs="simsun" w:eastAsia="simsun"/>
                <w:sz w:val="20"/>
                <w:b/>
                <w:u w:val="single"/>
              </w:rPr>
              <w:t>（信号管制设备）</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9.</w:t>
            </w:r>
            <w:r>
              <w:rPr>
                <w:rFonts w:ascii="simsun" w:hAnsi="simsun" w:cs="simsun" w:eastAsia="simsun"/>
                <w:sz w:val="20"/>
                <w:b/>
                <w:u w:val="single"/>
              </w:rPr>
              <w:t>（控制处理器）</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10.</w:t>
            </w:r>
            <w:r>
              <w:rPr>
                <w:rFonts w:ascii="simsun" w:hAnsi="simsun" w:cs="simsun" w:eastAsia="simsun"/>
                <w:sz w:val="20"/>
                <w:b/>
                <w:u w:val="single"/>
              </w:rPr>
              <w:t>（交换机）</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11.</w:t>
            </w:r>
            <w:r>
              <w:rPr>
                <w:rFonts w:ascii="simsun" w:hAnsi="simsun" w:cs="simsun" w:eastAsia="simsun"/>
                <w:sz w:val="20"/>
                <w:b/>
                <w:u w:val="single"/>
              </w:rPr>
              <w:t>（路由器）</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12.</w:t>
            </w:r>
            <w:r>
              <w:rPr>
                <w:rFonts w:ascii="simsun" w:hAnsi="simsun" w:cs="simsun" w:eastAsia="simsun"/>
                <w:sz w:val="20"/>
                <w:b/>
                <w:u w:val="single"/>
              </w:rPr>
              <w:t>（摄像头）</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13.</w:t>
            </w:r>
            <w:r>
              <w:rPr>
                <w:rFonts w:ascii="simsun" w:hAnsi="simsun" w:cs="simsun" w:eastAsia="simsun"/>
                <w:sz w:val="20"/>
                <w:b/>
                <w:u w:val="single"/>
              </w:rPr>
              <w:t>（硬盘录像机）</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19"/>
              </w:rPr>
              <w:t>14.</w:t>
            </w:r>
            <w:r>
              <w:rPr>
                <w:rFonts w:ascii="simsun" w:hAnsi="simsun" w:cs="simsun" w:eastAsia="simsun"/>
                <w:sz w:val="20"/>
                <w:b/>
                <w:u w:val="single"/>
              </w:rPr>
              <w:t>（UPS电源）</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jc w:val="left"/>
            </w:pPr>
            <w:r>
              <w:rPr>
                <w:rFonts w:ascii="simsun" w:hAnsi="simsun" w:cs="simsun" w:eastAsia="simsun"/>
                <w:sz w:val="19"/>
              </w:rPr>
              <w:t>15.</w:t>
            </w:r>
            <w:r>
              <w:rPr>
                <w:rFonts w:ascii="simsun" w:hAnsi="simsun" w:cs="simsun" w:eastAsia="simsun"/>
                <w:sz w:val="20"/>
                <w:b/>
                <w:u w:val="single"/>
              </w:rPr>
              <w:t>（蓄电池）</w:t>
            </w:r>
            <w:r>
              <w:rPr>
                <w:rFonts w:ascii="simsun" w:hAnsi="simsun" w:cs="simsun" w:eastAsia="simsun"/>
                <w:sz w:val="20"/>
              </w:rPr>
              <w:t>，属于</w:t>
            </w:r>
            <w:r>
              <w:rPr>
                <w:rFonts w:ascii="simsun" w:hAnsi="simsun" w:cs="simsun" w:eastAsia="simsun"/>
                <w:sz w:val="20"/>
                <w:b/>
                <w:u w:val="single"/>
              </w:rPr>
              <w:t>（</w:t>
            </w:r>
            <w:r>
              <w:rPr>
                <w:rFonts w:ascii="simsun" w:hAnsi="simsun" w:cs="simsun" w:eastAsia="simsun"/>
                <w:sz w:val="19"/>
                <w:b/>
                <w:u w:val="single"/>
              </w:rPr>
              <w:t>工业</w:t>
            </w:r>
            <w:r>
              <w:rPr>
                <w:rFonts w:ascii="simsun" w:hAnsi="simsun" w:cs="simsun" w:eastAsia="simsun"/>
                <w:sz w:val="20"/>
                <w:b/>
                <w:u w:val="single"/>
              </w:rPr>
              <w:t>）</w:t>
            </w:r>
            <w:r>
              <w:rPr>
                <w:rFonts w:ascii="simsun" w:hAnsi="simsun" w:cs="simsun" w:eastAsia="simsun"/>
                <w:sz w:val="20"/>
                <w:u w:val="single"/>
              </w:rPr>
              <w:t>行业</w:t>
            </w:r>
            <w:r>
              <w:rPr>
                <w:rFonts w:ascii="simsun" w:hAnsi="simsun" w:cs="simsun" w:eastAsia="simsun"/>
                <w:sz w:val="20"/>
              </w:rPr>
              <w:t>；制造商为</w:t>
            </w:r>
            <w:r>
              <w:rPr>
                <w:rFonts w:ascii="simsun" w:hAnsi="simsun" w:cs="simsun" w:eastAsia="simsun"/>
                <w:sz w:val="20"/>
                <w:u w:val="single"/>
              </w:rPr>
              <w:t>（企业名称）</w:t>
            </w:r>
            <w:r>
              <w:rPr>
                <w:rFonts w:ascii="simsun" w:hAnsi="simsun" w:cs="simsun" w:eastAsia="simsun"/>
                <w:sz w:val="20"/>
              </w:rPr>
              <w:t>，从业人员</w:t>
            </w:r>
            <w:r>
              <w:rPr>
                <w:rFonts w:ascii="simsun" w:hAnsi="simsun" w:cs="simsun" w:eastAsia="simsun"/>
                <w:sz w:val="21"/>
                <w:u w:val="single"/>
              </w:rPr>
              <w:t xml:space="preserve">  </w:t>
            </w:r>
            <w:r>
              <w:rPr>
                <w:rFonts w:ascii="simsun" w:hAnsi="simsun" w:cs="simsun" w:eastAsia="simsun"/>
                <w:sz w:val="20"/>
              </w:rPr>
              <w:t>人，营业收入为</w:t>
            </w:r>
            <w:r>
              <w:rPr>
                <w:rFonts w:ascii="simsun" w:hAnsi="simsun" w:cs="simsun" w:eastAsia="simsun"/>
                <w:sz w:val="21"/>
                <w:u w:val="single"/>
              </w:rPr>
              <w:t xml:space="preserve">  </w:t>
            </w:r>
            <w:r>
              <w:rPr>
                <w:rFonts w:ascii="simsun" w:hAnsi="simsun" w:cs="simsun" w:eastAsia="simsun"/>
                <w:sz w:val="20"/>
              </w:rPr>
              <w:t>万元，资产总额为</w:t>
            </w:r>
            <w:r>
              <w:rPr>
                <w:rFonts w:ascii="simsun" w:hAnsi="simsun" w:cs="simsun" w:eastAsia="simsun"/>
                <w:sz w:val="21"/>
                <w:u w:val="single"/>
              </w:rPr>
              <w:t xml:space="preserve">  </w:t>
            </w:r>
            <w:r>
              <w:rPr>
                <w:rFonts w:ascii="simsun" w:hAnsi="simsun" w:cs="simsun" w:eastAsia="simsun"/>
                <w:sz w:val="20"/>
              </w:rPr>
              <w:t>万元，属于</w:t>
            </w:r>
            <w:r>
              <w:rPr>
                <w:rFonts w:ascii="simsun" w:hAnsi="simsun" w:cs="simsun" w:eastAsia="simsun"/>
                <w:sz w:val="20"/>
                <w:u w:val="single"/>
              </w:rPr>
              <w:t>（中型企业、小型企业、微型企业）；（根据企业划型情况，明确其中一项类型）</w:t>
            </w:r>
          </w:p>
          <w:p>
            <w:pPr>
              <w:pStyle w:val="null3"/>
              <w:spacing w:before="45" w:after="45"/>
              <w:ind w:firstLine="285"/>
              <w:jc w:val="both"/>
            </w:pPr>
            <w:r>
              <w:rPr>
                <w:rFonts w:ascii="simsun" w:hAnsi="simsun" w:cs="simsun" w:eastAsia="simsun"/>
                <w:sz w:val="24"/>
              </w:rPr>
              <w:t>以上企业，不属于大企业的分支机构，不存在控股股东为大企业的情形，也不存在与大企业的负责人为同一人的情形。</w:t>
            </w:r>
          </w:p>
          <w:p>
            <w:pPr>
              <w:pStyle w:val="null3"/>
              <w:ind w:firstLine="480"/>
              <w:jc w:val="both"/>
            </w:pPr>
            <w:r>
              <w:rPr>
                <w:rFonts w:ascii="simsun" w:hAnsi="simsun" w:cs="simsun" w:eastAsia="simsun"/>
                <w:sz w:val="24"/>
              </w:rPr>
              <w:t xml:space="preserve"> 本企业对上述声明内容的真实性负责。如有虚假，将依法承担相应责任。</w:t>
            </w:r>
          </w:p>
          <w:p>
            <w:pPr>
              <w:pStyle w:val="null3"/>
              <w:ind w:firstLine="480"/>
              <w:jc w:val="both"/>
            </w:pPr>
            <w:r>
              <w:rPr>
                <w:rFonts w:ascii="simsun" w:hAnsi="simsun" w:cs="simsun" w:eastAsia="simsun"/>
                <w:sz w:val="24"/>
              </w:rPr>
              <w:t xml:space="preserve">                                投标人名称（盖章）：</w:t>
            </w:r>
          </w:p>
          <w:p>
            <w:pPr>
              <w:pStyle w:val="null3"/>
              <w:ind w:firstLine="3960"/>
              <w:jc w:val="both"/>
            </w:pPr>
            <w:r>
              <w:rPr>
                <w:rFonts w:ascii="simsun" w:hAnsi="simsun" w:cs="simsun" w:eastAsia="simsun"/>
                <w:sz w:val="24"/>
              </w:rPr>
              <w:t>日期：</w:t>
            </w:r>
          </w:p>
          <w:p>
            <w:pPr>
              <w:pStyle w:val="null3"/>
              <w:ind w:firstLine="480"/>
              <w:jc w:val="both"/>
            </w:pPr>
            <w:r>
              <w:rPr>
                <w:rFonts w:ascii="simsun" w:hAnsi="simsun" w:cs="simsun" w:eastAsia="simsun"/>
                <w:sz w:val="24"/>
                <w:b/>
              </w:rPr>
              <w:t>※注意：</w:t>
            </w:r>
          </w:p>
          <w:p>
            <w:pPr>
              <w:pStyle w:val="null3"/>
              <w:ind w:firstLine="420"/>
              <w:jc w:val="both"/>
            </w:pPr>
            <w:r>
              <w:rPr>
                <w:rFonts w:ascii="simsun" w:hAnsi="simsun" w:cs="simsun" w:eastAsia="simsun"/>
                <w:sz w:val="19"/>
              </w:rPr>
              <w:t>1.从 业人员、营 业收入、资 产总额填报上一年度数据，无上一年度数据的新成立企业可不填报。（“工业”行业的划型标准：从 业人员1000人以下或营 业收入40000万元以下的为中小微型企业。其中，从 业人员300人及以上，且营 业收入2000万元及以上的为中型企业；从 业人员20人及以上，且营 业收入300万元及以上的为小型企业；从 业人员20人以下或营 业收入300万元以下的为微型企业。）</w:t>
            </w:r>
          </w:p>
          <w:p>
            <w:pPr>
              <w:pStyle w:val="null3"/>
              <w:ind w:firstLine="420"/>
              <w:jc w:val="both"/>
            </w:pPr>
            <w:r>
              <w:rPr>
                <w:rFonts w:ascii="simsun" w:hAnsi="simsun" w:cs="simsun" w:eastAsia="simsun"/>
                <w:sz w:val="19"/>
              </w:rPr>
              <w:t>2.投标人须按招标文件中明确的所属行业填列，否则，其提供的中小企业声明将被判定为无效声明函，由此造成的后果由投标人自行承担（涉及资格的按无效投标处理；涉及价格评审优惠的，不予认定）。</w:t>
            </w:r>
          </w:p>
          <w:p>
            <w:pPr>
              <w:pStyle w:val="null3"/>
              <w:ind w:firstLine="420"/>
              <w:jc w:val="both"/>
            </w:pPr>
            <w:r>
              <w:rPr>
                <w:rFonts w:ascii="simsun" w:hAnsi="simsun" w:cs="simsun" w:eastAsia="simsun"/>
                <w:sz w:val="19"/>
              </w:rPr>
              <w:t xml:space="preserve">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              </w:t>
            </w:r>
          </w:p>
          <w:p>
            <w:pPr>
              <w:pStyle w:val="null3"/>
              <w:ind w:firstLine="380"/>
              <w:jc w:val="both"/>
            </w:pPr>
            <w:r>
              <w:rPr>
                <w:rFonts w:ascii="simsun" w:hAnsi="simsun" w:cs="simsun" w:eastAsia="simsun"/>
                <w:sz w:val="21"/>
              </w:rPr>
              <w:t>4.投标人应当按照招标文件中明确的采购标的对应行业出具《中小企业声明函》，而不是按照投标人的经 营范围或者货物制造商（工程承建商、服务承接商）的经 营范围出具《中小企业声明函》。</w:t>
            </w:r>
          </w:p>
          <w:p>
            <w:pPr>
              <w:pStyle w:val="null3"/>
              <w:ind w:firstLine="420"/>
              <w:jc w:val="both"/>
            </w:pPr>
          </w:p>
        </w:tc>
      </w:tr>
    </w:tbl>
    <w:p>
      <w:pPr>
        <w:pStyle w:val="null3"/>
        <w:jc w:val="both"/>
      </w:pPr>
      <w:r>
        <w:rPr>
          <w:rFonts w:ascii="simsun" w:hAnsi="simsun" w:cs="simsun" w:eastAsia="simsun"/>
          <w:sz w:val="24"/>
          <w:b/>
        </w:rPr>
        <w:t>附件3：关于串标情形及后果的告知函</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simsun" w:hAnsi="simsun" w:cs="simsun" w:eastAsia="simsun"/>
                <w:sz w:val="24"/>
                <w:b/>
              </w:rPr>
              <w:t>关于串标情形及后果的告知函</w:t>
            </w:r>
          </w:p>
          <w:p>
            <w:pPr>
              <w:pStyle w:val="null3"/>
              <w:ind w:firstLine="480"/>
              <w:jc w:val="both"/>
            </w:pPr>
            <w:r>
              <w:rPr>
                <w:rFonts w:ascii="simsun" w:hAnsi="simsun" w:cs="simsun" w:eastAsia="simsun"/>
                <w:sz w:val="24"/>
              </w:rPr>
              <w:t>致各投标人：</w:t>
            </w:r>
          </w:p>
          <w:p>
            <w:pPr>
              <w:pStyle w:val="null3"/>
              <w:ind w:firstLine="480"/>
              <w:jc w:val="both"/>
            </w:pPr>
            <w:r>
              <w:rPr>
                <w:rFonts w:ascii="simsun" w:hAnsi="simsun" w:cs="simsun" w:eastAsia="simsun"/>
                <w:sz w:val="24"/>
              </w:rPr>
              <w:t xml:space="preserve">   根据《厦门市财政局关于加强涉嫌串通投标情形处理的通知》要求，现将有关恶意串通、视为串通情形及投标人需承担的后果列明如下，请各投标人仔细阅读，如在参与本项目采购活动中存在串通投标情形，将依法承担相应责任：</w:t>
            </w:r>
          </w:p>
          <w:p>
            <w:pPr>
              <w:pStyle w:val="null3"/>
              <w:ind w:firstLine="480"/>
              <w:jc w:val="both"/>
            </w:pPr>
            <w:r>
              <w:rPr>
                <w:rFonts w:ascii="simsun" w:hAnsi="simsun" w:cs="simsun" w:eastAsia="simsun"/>
                <w:sz w:val="24"/>
                <w:b/>
              </w:rPr>
              <w:t>一、恶意串通情形</w:t>
            </w:r>
          </w:p>
          <w:p>
            <w:pPr>
              <w:pStyle w:val="null3"/>
              <w:ind w:firstLine="315"/>
              <w:jc w:val="both"/>
            </w:pPr>
            <w:r>
              <w:rPr>
                <w:rFonts w:ascii="simsun" w:hAnsi="simsun" w:cs="simsun" w:eastAsia="simsun"/>
                <w:sz w:val="24"/>
                <w:b/>
              </w:rPr>
              <w:t>《政府采购法实施条例》第七十四条：有下列情形之一的，属于恶意串通：</w:t>
            </w:r>
          </w:p>
          <w:p>
            <w:pPr>
              <w:pStyle w:val="null3"/>
              <w:ind w:firstLine="315"/>
              <w:jc w:val="both"/>
            </w:pPr>
            <w:r>
              <w:rPr>
                <w:rFonts w:ascii="simsun" w:hAnsi="simsun" w:cs="simsun" w:eastAsia="simsun"/>
                <w:sz w:val="24"/>
              </w:rPr>
              <w:t>（一）投标人直接或者间接从采购人或者采购代理机构处获得其他投标人的相关情况并修改其投标文件或者响应文件；</w:t>
            </w:r>
          </w:p>
          <w:p>
            <w:pPr>
              <w:pStyle w:val="null3"/>
              <w:ind w:firstLine="315"/>
              <w:jc w:val="both"/>
            </w:pPr>
            <w:r>
              <w:rPr>
                <w:rFonts w:ascii="simsun" w:hAnsi="simsun" w:cs="simsun" w:eastAsia="simsun"/>
                <w:sz w:val="24"/>
              </w:rPr>
              <w:t>（二）投标人按照采购人或者采购代理机构的授意撤换、修改投标文件或者响应文件；</w:t>
            </w:r>
          </w:p>
          <w:p>
            <w:pPr>
              <w:pStyle w:val="null3"/>
              <w:ind w:firstLine="315"/>
              <w:jc w:val="both"/>
            </w:pPr>
            <w:r>
              <w:rPr>
                <w:rFonts w:ascii="simsun" w:hAnsi="simsun" w:cs="simsun" w:eastAsia="simsun"/>
                <w:sz w:val="24"/>
              </w:rPr>
              <w:t>（三）投标人之间协商报价、技术方案等投标文件或者响应文件的实质性内容；</w:t>
            </w:r>
          </w:p>
          <w:p>
            <w:pPr>
              <w:pStyle w:val="null3"/>
              <w:ind w:firstLine="315"/>
              <w:jc w:val="both"/>
            </w:pPr>
            <w:r>
              <w:rPr>
                <w:rFonts w:ascii="simsun" w:hAnsi="simsun" w:cs="simsun" w:eastAsia="simsun"/>
                <w:sz w:val="24"/>
              </w:rPr>
              <w:t>（四）属于同一集团、协会、商会等组织成员的投标人按照该组织要求协同参加政府采购活动；</w:t>
            </w:r>
          </w:p>
          <w:p>
            <w:pPr>
              <w:pStyle w:val="null3"/>
              <w:ind w:firstLine="315"/>
              <w:jc w:val="both"/>
            </w:pPr>
            <w:r>
              <w:rPr>
                <w:rFonts w:ascii="simsun" w:hAnsi="simsun" w:cs="simsun" w:eastAsia="simsun"/>
                <w:sz w:val="24"/>
              </w:rPr>
              <w:t>（五）投标人之间事先约定由某一特定投标人中标、成交；</w:t>
            </w:r>
          </w:p>
          <w:p>
            <w:pPr>
              <w:pStyle w:val="null3"/>
              <w:ind w:firstLine="315"/>
              <w:jc w:val="both"/>
            </w:pPr>
            <w:r>
              <w:rPr>
                <w:rFonts w:ascii="simsun" w:hAnsi="simsun" w:cs="simsun" w:eastAsia="simsun"/>
                <w:sz w:val="24"/>
              </w:rPr>
              <w:t>（六）投标人之间商定部分投标人放弃参加政府采购活动或者放弃中标、成交；</w:t>
            </w:r>
          </w:p>
          <w:p>
            <w:pPr>
              <w:pStyle w:val="null3"/>
              <w:ind w:firstLine="315"/>
              <w:jc w:val="both"/>
            </w:pPr>
            <w:r>
              <w:rPr>
                <w:rFonts w:ascii="simsun" w:hAnsi="simsun" w:cs="simsun" w:eastAsia="simsun"/>
                <w:sz w:val="24"/>
              </w:rPr>
              <w:t>（七）投标人与采购人或者采购代理机构之间、投标人相互之间，为谋求特定投标人中标、成交或者排斥其他投标人的其他串通行为。</w:t>
            </w:r>
          </w:p>
          <w:p>
            <w:pPr>
              <w:pStyle w:val="null3"/>
              <w:ind w:firstLine="480"/>
              <w:jc w:val="both"/>
            </w:pPr>
            <w:r>
              <w:rPr>
                <w:rFonts w:ascii="simsun" w:hAnsi="simsun" w:cs="simsun" w:eastAsia="simsun"/>
                <w:sz w:val="24"/>
                <w:b/>
              </w:rPr>
              <w:t>二、视为串通情形</w:t>
            </w:r>
          </w:p>
          <w:p>
            <w:pPr>
              <w:pStyle w:val="null3"/>
              <w:ind w:firstLine="315"/>
              <w:jc w:val="both"/>
            </w:pPr>
            <w:r>
              <w:rPr>
                <w:rFonts w:ascii="simsun" w:hAnsi="simsun" w:cs="simsun" w:eastAsia="simsun"/>
                <w:sz w:val="24"/>
                <w:b/>
              </w:rPr>
              <w:t>《政府采购货物和服务招标投标管理办法》（财政部令第87号）第三十七条：有下列情形之一的，视为投标人串通投标，其投标无效：</w:t>
            </w:r>
          </w:p>
          <w:p>
            <w:pPr>
              <w:pStyle w:val="null3"/>
              <w:ind w:firstLine="315"/>
              <w:jc w:val="both"/>
            </w:pPr>
            <w:r>
              <w:rPr>
                <w:rFonts w:ascii="simsun" w:hAnsi="simsun" w:cs="simsun" w:eastAsia="simsun"/>
                <w:sz w:val="24"/>
              </w:rPr>
              <w:t>（一）不同投标人的投标文件由同一单位或者个人编制；</w:t>
            </w:r>
          </w:p>
          <w:p>
            <w:pPr>
              <w:pStyle w:val="null3"/>
              <w:ind w:firstLine="315"/>
              <w:jc w:val="both"/>
            </w:pPr>
            <w:r>
              <w:rPr>
                <w:rFonts w:ascii="simsun" w:hAnsi="simsun" w:cs="simsun" w:eastAsia="simsun"/>
                <w:sz w:val="24"/>
              </w:rPr>
              <w:t>（二）不同投标人委托同一单位或者个人办理投标事宜；</w:t>
            </w:r>
          </w:p>
          <w:p>
            <w:pPr>
              <w:pStyle w:val="null3"/>
              <w:ind w:firstLine="360"/>
              <w:jc w:val="both"/>
            </w:pPr>
            <w:r>
              <w:rPr>
                <w:rFonts w:ascii="simsun" w:hAnsi="simsun" w:cs="simsun" w:eastAsia="simsun"/>
                <w:sz w:val="24"/>
              </w:rPr>
              <w:t>（三）不同投标人的投标文件载明的项目管理成员或者联系人员为同一人；（四）不同投标人的投标文件异常一致或者投标报价呈规律性差异；</w:t>
            </w:r>
          </w:p>
          <w:p>
            <w:pPr>
              <w:pStyle w:val="null3"/>
              <w:ind w:firstLine="360"/>
              <w:jc w:val="both"/>
            </w:pPr>
            <w:r>
              <w:rPr>
                <w:rFonts w:ascii="simsun" w:hAnsi="simsun" w:cs="simsun" w:eastAsia="simsun"/>
                <w:sz w:val="24"/>
              </w:rPr>
              <w:t>（五）不同投标人的投标文件相互混装；</w:t>
            </w:r>
          </w:p>
          <w:p>
            <w:pPr>
              <w:pStyle w:val="null3"/>
              <w:ind w:firstLine="360"/>
              <w:jc w:val="both"/>
            </w:pPr>
            <w:r>
              <w:rPr>
                <w:rFonts w:ascii="simsun" w:hAnsi="simsun" w:cs="simsun" w:eastAsia="simsun"/>
                <w:sz w:val="24"/>
              </w:rPr>
              <w:t>（六）不同投标人的投标保证金从同一单位或者个人的账户转出。</w:t>
            </w:r>
          </w:p>
          <w:p>
            <w:pPr>
              <w:pStyle w:val="null3"/>
              <w:ind w:firstLine="315"/>
              <w:jc w:val="both"/>
            </w:pPr>
            <w:r>
              <w:rPr>
                <w:rFonts w:ascii="simsun" w:hAnsi="simsun" w:cs="simsun" w:eastAsia="simsun"/>
                <w:sz w:val="24"/>
                <w:b/>
              </w:rPr>
              <w:t>《福建省财政厅关于电子化政府采购项目中视为串标情形认定与处理的指导意见》（闽财购〔2018〕30号）</w:t>
            </w:r>
          </w:p>
          <w:p>
            <w:pPr>
              <w:pStyle w:val="null3"/>
              <w:ind w:firstLine="315"/>
              <w:jc w:val="both"/>
            </w:pPr>
            <w:r>
              <w:rPr>
                <w:rFonts w:ascii="simsun" w:hAnsi="simsun" w:cs="simsun" w:eastAsia="simsun"/>
                <w:sz w:val="24"/>
              </w:rPr>
              <w:t>（一）电子化招标项目视为串通情形的认定</w:t>
            </w:r>
          </w:p>
          <w:p>
            <w:pPr>
              <w:pStyle w:val="null3"/>
              <w:ind w:firstLine="315"/>
              <w:jc w:val="both"/>
            </w:pPr>
            <w:r>
              <w:rPr>
                <w:rFonts w:ascii="simsun" w:hAnsi="simsun" w:cs="simsun" w:eastAsia="simsun"/>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315"/>
              <w:jc w:val="both"/>
            </w:pPr>
            <w:r>
              <w:rPr>
                <w:rFonts w:ascii="simsun" w:hAnsi="simsun" w:cs="simsun" w:eastAsia="simsun"/>
                <w:sz w:val="24"/>
              </w:rPr>
              <w:t>2、电子响应文件解密阶段 电子响应文件的个性特征与本采购项目的其他响应人存在雷同的，按照以下方式进行认定：</w:t>
            </w:r>
          </w:p>
          <w:p>
            <w:pPr>
              <w:pStyle w:val="null3"/>
              <w:ind w:firstLine="315"/>
              <w:jc w:val="both"/>
            </w:pPr>
            <w:r>
              <w:rPr>
                <w:rFonts w:ascii="simsun" w:hAnsi="simsun" w:cs="simsun" w:eastAsia="simsun"/>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jc w:val="both"/>
            </w:pPr>
            <w:r>
              <w:rPr>
                <w:rFonts w:ascii="simsun" w:hAnsi="simsun" w:cs="simsun" w:eastAsia="simsun"/>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jc w:val="both"/>
            </w:pPr>
            <w:r>
              <w:rPr>
                <w:rFonts w:ascii="simsun" w:hAnsi="simsun" w:cs="simsun" w:eastAsia="simsun"/>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jc w:val="both"/>
            </w:pPr>
            <w:r>
              <w:rPr>
                <w:rFonts w:ascii="simsun" w:hAnsi="simsun" w:cs="simsun" w:eastAsia="simsun"/>
                <w:sz w:val="24"/>
              </w:rPr>
              <w:t>（二）电子化非招标项目视为串通情形的认定</w:t>
            </w:r>
          </w:p>
          <w:p>
            <w:pPr>
              <w:pStyle w:val="null3"/>
              <w:ind w:firstLine="315"/>
              <w:jc w:val="both"/>
            </w:pPr>
            <w:r>
              <w:rPr>
                <w:rFonts w:ascii="simsun" w:hAnsi="simsun" w:cs="simsun" w:eastAsia="simsun"/>
                <w:sz w:val="24"/>
              </w:rPr>
              <w:t>电子化非招标项目（包括竞争性谈判、竞争性磋商、询价）中出现本意见第一点所列情形的，属于《中华人民共和国政府采购法实施条例》第七十四条第（七）项“投标人与采购人或者采购代理机构之间、投标人相互之间，为谋求特定投标人中标、成交或者排斥其他投标人的其他串通行为”。</w:t>
            </w:r>
          </w:p>
          <w:p>
            <w:pPr>
              <w:pStyle w:val="null3"/>
              <w:ind w:firstLine="480"/>
              <w:jc w:val="both"/>
            </w:pPr>
            <w:r>
              <w:rPr>
                <w:rFonts w:ascii="simsun" w:hAnsi="simsun" w:cs="simsun" w:eastAsia="simsun"/>
                <w:sz w:val="24"/>
                <w:b/>
              </w:rPr>
              <w:t>三、投标人需承担的后果</w:t>
            </w:r>
          </w:p>
          <w:p>
            <w:pPr>
              <w:pStyle w:val="null3"/>
              <w:ind w:firstLine="480"/>
              <w:jc w:val="both"/>
            </w:pPr>
            <w:r>
              <w:rPr>
                <w:rFonts w:ascii="simsun" w:hAnsi="simsun" w:cs="simsun" w:eastAsia="simsun"/>
                <w:sz w:val="24"/>
              </w:rPr>
              <w:t>1、《政府采购法》第七十七条：投标人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三）与采购人、其他投标人或者采购代理机构恶意串通的；投标人有前款第（一）至（五）项情形之一的，中标、成交无效。</w:t>
            </w:r>
          </w:p>
          <w:p>
            <w:pPr>
              <w:pStyle w:val="null3"/>
              <w:ind w:firstLine="480"/>
              <w:jc w:val="both"/>
            </w:pPr>
            <w:r>
              <w:rPr>
                <w:rFonts w:ascii="simsun" w:hAnsi="simsun" w:cs="simsun" w:eastAsia="simsun"/>
                <w:sz w:val="24"/>
              </w:rPr>
              <w:t>2、《政府采购非招标采购方式管理办法》（财政部令第74号）第二十条：有下列情形之一的，保证金不予退还： （四）投标人与采购人、其他投标人或者采购代理机构恶意串通的；</w:t>
            </w:r>
          </w:p>
          <w:p>
            <w:pPr>
              <w:pStyle w:val="null3"/>
              <w:ind w:firstLine="552"/>
              <w:jc w:val="both"/>
            </w:pPr>
            <w:r>
              <w:rPr>
                <w:rFonts w:ascii="simsun" w:hAnsi="simsun" w:cs="simsun" w:eastAsia="simsun"/>
                <w:sz w:val="24"/>
              </w:rPr>
              <w:t>3、《政府采购竞争性磋商采购方式管理暂行办法》（财库〔2014〕214号）第三十一条：有下列情形之一的，磋商保证金不予退还： （四）投标人与采购人、其他投标人或者采购代理机构恶意串通的；</w:t>
            </w:r>
          </w:p>
          <w:p>
            <w:pPr>
              <w:pStyle w:val="null3"/>
              <w:ind w:firstLine="480"/>
              <w:jc w:val="both"/>
            </w:pPr>
            <w:r>
              <w:rPr>
                <w:rFonts w:ascii="simsun" w:hAnsi="simsun" w:cs="simsun" w:eastAsia="simsun"/>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tc>
      </w:tr>
    </w:tbl>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1、除招标文件另有规定外，若出现有关法律、法规和规章有强制性规定但招标文件未列明的情形，则投标人应按照有关法律、法规和规章强制性规定执行。 2、其他： 2.1 本项目支持投标人办理政府采购合同融资（即政采贷），具体相关政策详见《关于促进中小企业政府采购合同融资健康开展的通知》（闽财购函〔2019〕16 号）和《关于印发&lt;福建省支持中小企业政府采购合同融资暂行办法&gt;的通知（闽财购〔2018〕7 号）。办理渠道及政策查询网址： http://120.35.30.176/zcdproject/home/。 2.2 关于开标： （1）本项目采用“远程开标”，投标人可到开标现场，也可不到开标现场，由投标人自行决定。 （2）投标人不到开标现场的，请在福建省政府采购网厦门分网“服务专区/下载专区/资料下载”中，下载《远程开标操作手册》，在开标时自行登录采购系统，线上观看开标过程，并按要求在开标时段对投标文件进行远程解密、远程签章。 （3）投标人应确保自身设施、设备、网络状况良好，提前了解熟悉远程开标流程，因投标人自身原因造成无法正常观看开标过程、远程解密或签章的，后果由投标人自行承担。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（5）投标人应在远程解密开启后在规定时间（60分钟）内使用CA数字证书（应与投标文件加密时所用CA证书一致）进行投标文件的解密操作，逾期未解密的视为放弃投标。 （6）唱标结束后，投标人可对开标结果进行签章，并在远程签章开放后5分钟内完成，逾期未签章的视同认可开标结果。 （7）开、评标期间，投标人代表应保证采购系统中预留的联系方式畅通，以便随时接收并答复评标委员会发起的澄清等事项。 （8）在操作过程中如有疑问请咨询技术人员（400-1612-666、0592-2858142）或采购代 理机构工作人员。</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二-9中小企业声明函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二-12其他资格证明文件（若有）</w:t>
      </w:r>
    </w:p>
    <w:p>
      <w:pPr>
        <w:pStyle w:val="null3"/>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[350201]WCGC[GK]2024001</w:t>
      </w:r>
    </w:p>
    <w:p>
      <w:pPr>
        <w:pStyle w:val="null3"/>
        <w:jc w:val="left"/>
      </w:pPr>
      <w:r>
        <w:rPr/>
        <w:t>项目名称：</w:t>
      </w:r>
      <w:r>
        <w:rPr/>
        <w:t>厦门北站新建二类固定站</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报价内容</w:t>
            </w:r>
          </w:p>
        </w:tc>
        <w:tc>
          <w:tcPr>
            <w:tcW w:type="dxa" w:w="1384"/>
          </w:tcPr>
          <w:p>
            <w:pPr>
              <w:pStyle w:val="null3"/>
              <w:jc w:val="left"/>
            </w:pPr>
            <w:r>
              <w:rPr/>
              <w:t xml:space="preserve"> 计量单位</w:t>
            </w:r>
          </w:p>
        </w:tc>
        <w:tc>
          <w:tcPr>
            <w:tcW w:type="dxa" w:w="1384"/>
          </w:tcPr>
          <w:p>
            <w:pPr>
              <w:pStyle w:val="null3"/>
              <w:jc w:val="left"/>
            </w:pPr>
            <w:r>
              <w:rPr/>
              <w:t xml:space="preserve"> 最高限价</w:t>
            </w:r>
          </w:p>
        </w:tc>
        <w:tc>
          <w:tcPr>
            <w:tcW w:type="dxa" w:w="1384"/>
          </w:tcPr>
          <w:p>
            <w:pPr>
              <w:pStyle w:val="null3"/>
              <w:jc w:val="left"/>
            </w:pPr>
            <w:r>
              <w:rPr/>
              <w:t xml:space="preserve"> 响应报价</w:t>
            </w:r>
          </w:p>
        </w:tc>
        <w:tc>
          <w:tcPr>
            <w:tcW w:type="dxa" w:w="1384"/>
          </w:tcPr>
          <w:p>
            <w:pPr>
              <w:pStyle w:val="null3"/>
              <w:jc w:val="left"/>
            </w:pPr>
            <w:r>
              <w:rPr/>
              <w:t xml:space="preserve"> 价款形式</w:t>
            </w:r>
          </w:p>
        </w:tc>
      </w:tr>
      <w:tr>
        <w:tc>
          <w:tcPr>
            <w:tcW w:type="dxa" w:w="1384"/>
          </w:tcPr>
          <w:p>
            <w:pPr>
              <w:pStyle w:val="null3"/>
              <w:jc w:val="left"/>
            </w:pPr>
            <w:r>
              <w:rPr/>
              <w:t xml:space="preserve"> 1</w:t>
            </w:r>
          </w:p>
        </w:tc>
        <w:tc>
          <w:tcPr>
            <w:tcW w:type="dxa" w:w="1384"/>
          </w:tcPr>
          <w:p>
            <w:pPr>
              <w:pStyle w:val="null3"/>
              <w:jc w:val="left"/>
            </w:pPr>
            <w:r>
              <w:rPr/>
              <w:t xml:space="preserve"> 厦门北站新建二类固定监测站</w:t>
            </w:r>
          </w:p>
        </w:tc>
        <w:tc>
          <w:tcPr>
            <w:tcW w:type="dxa" w:w="1384"/>
          </w:tcPr>
          <w:p>
            <w:pPr>
              <w:pStyle w:val="null3"/>
              <w:jc w:val="left"/>
            </w:pPr>
            <w:r>
              <w:rPr/>
              <w:t xml:space="preserve"> 套</w:t>
            </w:r>
          </w:p>
        </w:tc>
        <w:tc>
          <w:tcPr>
            <w:tcW w:type="dxa" w:w="1384"/>
          </w:tcPr>
          <w:p>
            <w:pPr>
              <w:pStyle w:val="null3"/>
              <w:jc w:val="left"/>
            </w:pPr>
            <w:r>
              <w:rPr/>
              <w:t xml:space="preserve"> 2530000.00 </w:t>
            </w:r>
            <w:r>
              <w:rPr/>
              <w:t xml:space="preserve"> 元</w:t>
            </w:r>
          </w:p>
        </w:tc>
        <w:tc>
          <w:tcPr>
            <w:tcW w:type="dxa" w:w="1384"/>
          </w:tcPr>
          <w:p>
            <w:pPr>
              <w:pStyle w:val="null3"/>
              <w:jc w:val="left"/>
            </w:pPr>
            <w:r>
              <w:rPr/>
              <w:t xml:space="preserve"> 「汇总引用」 </w:t>
            </w:r>
            <w:r>
              <w:rPr/>
              <w:t xml:space="preserve"> 元</w:t>
            </w:r>
          </w:p>
        </w:tc>
        <w:tc>
          <w:tcPr>
            <w:tcW w:type="dxa" w:w="1384"/>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[350201]WCGC[GK]2024001</w:t>
      </w:r>
    </w:p>
    <w:p>
      <w:pPr>
        <w:pStyle w:val="null3"/>
        <w:jc w:val="left"/>
      </w:pPr>
      <w:r>
        <w:rPr/>
        <w:t>项目名称：</w:t>
      </w:r>
      <w:r>
        <w:rPr/>
        <w:t>厦门北站新建二类固定站</w:t>
      </w:r>
    </w:p>
    <w:p>
      <w:pPr>
        <w:pStyle w:val="null3"/>
        <w:jc w:val="left"/>
      </w:pPr>
      <w:r>
        <w:rPr/>
        <w:t xml:space="preserve"> 厦门北站新建二类固定监测站</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监测天线</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2</w:t>
            </w:r>
          </w:p>
        </w:tc>
        <w:tc>
          <w:tcPr>
            <w:tcW w:type="dxa" w:w="639"/>
          </w:tcPr>
          <w:p>
            <w:pPr>
              <w:pStyle w:val="null3"/>
              <w:jc w:val="left"/>
            </w:pPr>
            <w:r>
              <w:rPr/>
              <w:t xml:space="preserve"> 双极化测向天线</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3</w:t>
            </w:r>
          </w:p>
        </w:tc>
        <w:tc>
          <w:tcPr>
            <w:tcW w:type="dxa" w:w="639"/>
          </w:tcPr>
          <w:p>
            <w:pPr>
              <w:pStyle w:val="null3"/>
              <w:jc w:val="left"/>
            </w:pPr>
            <w:r>
              <w:rPr/>
              <w:t xml:space="preserve"> 天馈系统配套设施</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4</w:t>
            </w:r>
          </w:p>
        </w:tc>
        <w:tc>
          <w:tcPr>
            <w:tcW w:type="dxa" w:w="639"/>
          </w:tcPr>
          <w:p>
            <w:pPr>
              <w:pStyle w:val="null3"/>
              <w:jc w:val="left"/>
            </w:pPr>
            <w:r>
              <w:rPr/>
              <w:t xml:space="preserve"> 宽带监测接收机</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5</w:t>
            </w:r>
          </w:p>
        </w:tc>
        <w:tc>
          <w:tcPr>
            <w:tcW w:type="dxa" w:w="639"/>
          </w:tcPr>
          <w:p>
            <w:pPr>
              <w:pStyle w:val="null3"/>
              <w:jc w:val="left"/>
            </w:pPr>
            <w:r>
              <w:rPr/>
              <w:t xml:space="preserve"> 测向接收机</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6</w:t>
            </w:r>
          </w:p>
        </w:tc>
        <w:tc>
          <w:tcPr>
            <w:tcW w:type="dxa" w:w="639"/>
          </w:tcPr>
          <w:p>
            <w:pPr>
              <w:pStyle w:val="null3"/>
              <w:jc w:val="left"/>
            </w:pPr>
            <w:r>
              <w:rPr/>
              <w:t xml:space="preserve"> 数字信号监测设备</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7</w:t>
            </w:r>
          </w:p>
        </w:tc>
        <w:tc>
          <w:tcPr>
            <w:tcW w:type="dxa" w:w="639"/>
          </w:tcPr>
          <w:p>
            <w:pPr>
              <w:pStyle w:val="null3"/>
              <w:jc w:val="left"/>
            </w:pPr>
            <w:r>
              <w:rPr/>
              <w:t xml:space="preserve"> GSM-R专用监测接收机</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8</w:t>
            </w:r>
          </w:p>
        </w:tc>
        <w:tc>
          <w:tcPr>
            <w:tcW w:type="dxa" w:w="639"/>
          </w:tcPr>
          <w:p>
            <w:pPr>
              <w:pStyle w:val="null3"/>
              <w:jc w:val="left"/>
            </w:pPr>
            <w:r>
              <w:rPr/>
              <w:t xml:space="preserve"> 信号管制设备</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9</w:t>
            </w:r>
          </w:p>
        </w:tc>
        <w:tc>
          <w:tcPr>
            <w:tcW w:type="dxa" w:w="639"/>
          </w:tcPr>
          <w:p>
            <w:pPr>
              <w:pStyle w:val="null3"/>
              <w:jc w:val="left"/>
            </w:pPr>
            <w:r>
              <w:rPr/>
              <w:t xml:space="preserve"> 控制处理器</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10</w:t>
            </w:r>
          </w:p>
        </w:tc>
        <w:tc>
          <w:tcPr>
            <w:tcW w:type="dxa" w:w="639"/>
          </w:tcPr>
          <w:p>
            <w:pPr>
              <w:pStyle w:val="null3"/>
              <w:jc w:val="left"/>
            </w:pPr>
            <w:r>
              <w:rPr/>
              <w:t xml:space="preserve"> 交换机</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11</w:t>
            </w:r>
          </w:p>
        </w:tc>
        <w:tc>
          <w:tcPr>
            <w:tcW w:type="dxa" w:w="639"/>
          </w:tcPr>
          <w:p>
            <w:pPr>
              <w:pStyle w:val="null3"/>
              <w:jc w:val="left"/>
            </w:pPr>
            <w:r>
              <w:rPr/>
              <w:t xml:space="preserve"> 路由器</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12</w:t>
            </w:r>
          </w:p>
        </w:tc>
        <w:tc>
          <w:tcPr>
            <w:tcW w:type="dxa" w:w="639"/>
          </w:tcPr>
          <w:p>
            <w:pPr>
              <w:pStyle w:val="null3"/>
              <w:jc w:val="left"/>
            </w:pPr>
            <w:r>
              <w:rPr/>
              <w:t xml:space="preserve"> 摄像头</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13</w:t>
            </w:r>
          </w:p>
        </w:tc>
        <w:tc>
          <w:tcPr>
            <w:tcW w:type="dxa" w:w="639"/>
          </w:tcPr>
          <w:p>
            <w:pPr>
              <w:pStyle w:val="null3"/>
              <w:jc w:val="left"/>
            </w:pPr>
            <w:r>
              <w:rPr/>
              <w:t xml:space="preserve"> 信号识别与分析</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14</w:t>
            </w:r>
          </w:p>
        </w:tc>
        <w:tc>
          <w:tcPr>
            <w:tcW w:type="dxa" w:w="639"/>
          </w:tcPr>
          <w:p>
            <w:pPr>
              <w:pStyle w:val="null3"/>
              <w:jc w:val="left"/>
            </w:pPr>
            <w:r>
              <w:rPr/>
              <w:t xml:space="preserve"> 硬盘录像机</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15</w:t>
            </w:r>
          </w:p>
        </w:tc>
        <w:tc>
          <w:tcPr>
            <w:tcW w:type="dxa" w:w="639"/>
          </w:tcPr>
          <w:p>
            <w:pPr>
              <w:pStyle w:val="null3"/>
              <w:jc w:val="left"/>
            </w:pPr>
            <w:r>
              <w:rPr/>
              <w:t xml:space="preserve"> 电视信号监测</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16</w:t>
            </w:r>
          </w:p>
        </w:tc>
        <w:tc>
          <w:tcPr>
            <w:tcW w:type="dxa" w:w="639"/>
          </w:tcPr>
          <w:p>
            <w:pPr>
              <w:pStyle w:val="null3"/>
              <w:jc w:val="left"/>
            </w:pPr>
            <w:r>
              <w:rPr/>
              <w:t xml:space="preserve"> 监测测向设备软件</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17</w:t>
            </w:r>
          </w:p>
        </w:tc>
        <w:tc>
          <w:tcPr>
            <w:tcW w:type="dxa" w:w="639"/>
          </w:tcPr>
          <w:p>
            <w:pPr>
              <w:pStyle w:val="null3"/>
              <w:jc w:val="left"/>
            </w:pPr>
            <w:r>
              <w:rPr/>
              <w:t xml:space="preserve"> UPS电源</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18</w:t>
            </w:r>
          </w:p>
        </w:tc>
        <w:tc>
          <w:tcPr>
            <w:tcW w:type="dxa" w:w="639"/>
          </w:tcPr>
          <w:p>
            <w:pPr>
              <w:pStyle w:val="null3"/>
              <w:jc w:val="left"/>
            </w:pPr>
            <w:r>
              <w:rPr/>
              <w:t xml:space="preserve"> 蓄电池</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19</w:t>
            </w:r>
          </w:p>
        </w:tc>
        <w:tc>
          <w:tcPr>
            <w:tcW w:type="dxa" w:w="639"/>
          </w:tcPr>
          <w:p>
            <w:pPr>
              <w:pStyle w:val="null3"/>
              <w:jc w:val="left"/>
            </w:pPr>
            <w:r>
              <w:rPr/>
              <w:t xml:space="preserve"> 原子化服务软件</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20</w:t>
            </w:r>
          </w:p>
        </w:tc>
        <w:tc>
          <w:tcPr>
            <w:tcW w:type="dxa" w:w="639"/>
          </w:tcPr>
          <w:p>
            <w:pPr>
              <w:pStyle w:val="null3"/>
              <w:jc w:val="left"/>
            </w:pPr>
            <w:r>
              <w:rPr/>
              <w:t xml:space="preserve"> 防雷接地系统</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21</w:t>
            </w:r>
          </w:p>
        </w:tc>
        <w:tc>
          <w:tcPr>
            <w:tcW w:type="dxa" w:w="639"/>
          </w:tcPr>
          <w:p>
            <w:pPr>
              <w:pStyle w:val="null3"/>
              <w:jc w:val="left"/>
            </w:pPr>
            <w:r>
              <w:rPr/>
              <w:t xml:space="preserve"> 环境监控系统</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22</w:t>
            </w:r>
          </w:p>
        </w:tc>
        <w:tc>
          <w:tcPr>
            <w:tcW w:type="dxa" w:w="639"/>
          </w:tcPr>
          <w:p>
            <w:pPr>
              <w:pStyle w:val="null3"/>
              <w:jc w:val="left"/>
            </w:pPr>
            <w:r>
              <w:rPr/>
              <w:t xml:space="preserve"> 机房</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23</w:t>
            </w:r>
          </w:p>
        </w:tc>
        <w:tc>
          <w:tcPr>
            <w:tcW w:type="dxa" w:w="639"/>
          </w:tcPr>
          <w:p>
            <w:pPr>
              <w:pStyle w:val="null3"/>
              <w:jc w:val="left"/>
            </w:pPr>
            <w:r>
              <w:rPr/>
              <w:t xml:space="preserve"> 系统集成含铁塔建设(改造)</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