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35588" w14:textId="77777777" w:rsidR="00BC256F" w:rsidRDefault="00000000">
      <w:pPr>
        <w:pStyle w:val="ab"/>
        <w:rPr>
          <w:rFonts w:cs="Times New Roman"/>
          <w:sz w:val="36"/>
          <w:szCs w:val="36"/>
        </w:rPr>
      </w:pPr>
      <w:r>
        <w:rPr>
          <w:rFonts w:cs="宋体" w:hint="eastAsia"/>
          <w:sz w:val="36"/>
          <w:szCs w:val="36"/>
        </w:rPr>
        <w:t>采购内容及要求</w:t>
      </w:r>
    </w:p>
    <w:p w14:paraId="200980EA" w14:textId="77777777" w:rsidR="00BC256F" w:rsidRDefault="00000000">
      <w:pPr>
        <w:pStyle w:val="ab"/>
        <w:jc w:val="left"/>
        <w:rPr>
          <w:rFonts w:cs="Times New Roman"/>
          <w:sz w:val="24"/>
          <w:szCs w:val="24"/>
        </w:rPr>
      </w:pPr>
      <w:bookmarkStart w:id="0" w:name="_Toc14358"/>
      <w:r>
        <w:rPr>
          <w:rFonts w:cs="宋体" w:hint="eastAsia"/>
          <w:sz w:val="24"/>
          <w:szCs w:val="24"/>
        </w:rPr>
        <w:t>一、项目概况</w:t>
      </w:r>
      <w:bookmarkEnd w:id="0"/>
    </w:p>
    <w:p w14:paraId="4418F6EC" w14:textId="0730FC2C" w:rsidR="00BC256F" w:rsidRDefault="00000000">
      <w:pPr>
        <w:pStyle w:val="null3"/>
        <w:ind w:firstLineChars="200" w:firstLine="480"/>
        <w:jc w:val="both"/>
        <w:rPr>
          <w:rFonts w:ascii="宋体" w:eastAsia="宋体" w:hAnsi="宋体" w:cs="宋体"/>
          <w:sz w:val="24"/>
          <w:szCs w:val="24"/>
          <w:lang w:eastAsia="zh-CN"/>
        </w:rPr>
      </w:pPr>
      <w:bookmarkStart w:id="1" w:name="_Toc9164"/>
      <w:r>
        <w:rPr>
          <w:rFonts w:ascii="宋体" w:eastAsia="宋体" w:hAnsi="宋体" w:cs="宋体"/>
          <w:sz w:val="24"/>
          <w:szCs w:val="24"/>
          <w:lang w:eastAsia="zh-CN"/>
        </w:rPr>
        <w:t>漳州市无线电管理局</w:t>
      </w:r>
      <w:r w:rsidR="00ED613D">
        <w:rPr>
          <w:rFonts w:ascii="宋体" w:eastAsia="宋体" w:hAnsi="宋体" w:cs="宋体"/>
          <w:sz w:val="24"/>
          <w:szCs w:val="24"/>
          <w:lang w:eastAsia="zh-CN"/>
        </w:rPr>
        <w:t>拟开展对</w:t>
      </w:r>
      <w:r>
        <w:rPr>
          <w:rFonts w:ascii="宋体" w:eastAsia="宋体" w:hAnsi="宋体" w:cs="宋体"/>
          <w:sz w:val="24"/>
          <w:szCs w:val="24"/>
          <w:lang w:eastAsia="zh-CN"/>
        </w:rPr>
        <w:t>2台</w:t>
      </w:r>
      <w:r w:rsidR="00ED613D">
        <w:rPr>
          <w:rFonts w:ascii="宋体" w:eastAsia="宋体" w:hAnsi="宋体" w:cs="宋体"/>
          <w:sz w:val="24"/>
          <w:szCs w:val="24"/>
          <w:lang w:eastAsia="zh-CN"/>
        </w:rPr>
        <w:t>监测</w:t>
      </w:r>
      <w:r>
        <w:rPr>
          <w:rFonts w:ascii="宋体" w:eastAsia="宋体" w:hAnsi="宋体" w:cs="宋体"/>
          <w:sz w:val="24"/>
          <w:szCs w:val="24"/>
          <w:lang w:eastAsia="zh-CN"/>
        </w:rPr>
        <w:t>接收机</w:t>
      </w:r>
      <w:r w:rsidR="00ED613D">
        <w:rPr>
          <w:rFonts w:ascii="宋体" w:eastAsia="宋体" w:hAnsi="宋体" w:cs="宋体"/>
          <w:sz w:val="24"/>
          <w:szCs w:val="24"/>
          <w:lang w:eastAsia="zh-CN"/>
        </w:rPr>
        <w:t>EB500</w:t>
      </w:r>
      <w:r>
        <w:rPr>
          <w:rFonts w:ascii="宋体" w:eastAsia="宋体" w:hAnsi="宋体" w:cs="宋体"/>
          <w:sz w:val="24"/>
          <w:szCs w:val="24"/>
          <w:lang w:eastAsia="zh-CN"/>
        </w:rPr>
        <w:t>接收信号弱和预选器故障、1个ADD253天线控制板故障、1个EBD061电源模块</w:t>
      </w:r>
      <w:r w:rsidR="00ED613D">
        <w:rPr>
          <w:rFonts w:ascii="宋体" w:eastAsia="宋体" w:hAnsi="宋体" w:cs="宋体"/>
          <w:sz w:val="24"/>
          <w:szCs w:val="24"/>
          <w:lang w:eastAsia="zh-CN"/>
        </w:rPr>
        <w:t>故障</w:t>
      </w:r>
      <w:r>
        <w:rPr>
          <w:rFonts w:ascii="宋体" w:eastAsia="宋体" w:hAnsi="宋体" w:cs="宋体"/>
          <w:sz w:val="24"/>
          <w:szCs w:val="24"/>
          <w:lang w:eastAsia="zh-CN"/>
        </w:rPr>
        <w:t>、龙海镇海角站线缆断裂、龙海岛美站ESMC通讯模块故障、漳州市无线电管理局14楼控制中心AMX中控控制系统无法通过中控系统对会议室设备进行开关控制、信号切换、音频切换及音量调整等故障</w:t>
      </w:r>
      <w:r w:rsidR="00ED613D">
        <w:rPr>
          <w:rFonts w:ascii="宋体" w:eastAsia="宋体" w:hAnsi="宋体" w:cs="宋体"/>
          <w:sz w:val="24"/>
          <w:szCs w:val="24"/>
          <w:lang w:eastAsia="zh-CN"/>
        </w:rPr>
        <w:t>进行维修</w:t>
      </w:r>
      <w:r>
        <w:rPr>
          <w:rFonts w:ascii="宋体" w:eastAsia="宋体" w:hAnsi="宋体" w:cs="宋体"/>
          <w:sz w:val="24"/>
          <w:szCs w:val="24"/>
          <w:lang w:eastAsia="zh-CN"/>
        </w:rPr>
        <w:t>，</w:t>
      </w:r>
      <w:r w:rsidR="00ED613D">
        <w:rPr>
          <w:rFonts w:ascii="宋体" w:eastAsia="宋体" w:hAnsi="宋体" w:cs="宋体"/>
          <w:sz w:val="24"/>
          <w:szCs w:val="24"/>
          <w:lang w:eastAsia="zh-CN"/>
        </w:rPr>
        <w:t>2台EB500测试验证，1个站点搬迁等</w:t>
      </w:r>
      <w:r w:rsidR="003B5DC7">
        <w:rPr>
          <w:rFonts w:ascii="宋体" w:eastAsia="宋体" w:hAnsi="宋体" w:cs="宋体"/>
          <w:sz w:val="24"/>
          <w:szCs w:val="24"/>
          <w:lang w:eastAsia="zh-CN"/>
        </w:rPr>
        <w:t>项目的</w:t>
      </w:r>
      <w:r w:rsidR="00ED613D">
        <w:rPr>
          <w:rFonts w:ascii="宋体" w:eastAsia="宋体" w:hAnsi="宋体" w:cs="宋体"/>
          <w:sz w:val="24"/>
          <w:szCs w:val="24"/>
          <w:lang w:eastAsia="zh-CN"/>
        </w:rPr>
        <w:t>购买服务</w:t>
      </w:r>
      <w:r w:rsidR="003B5DC7">
        <w:rPr>
          <w:rFonts w:ascii="宋体" w:eastAsia="宋体" w:hAnsi="宋体" w:cs="宋体"/>
          <w:sz w:val="24"/>
          <w:szCs w:val="24"/>
          <w:lang w:eastAsia="zh-CN"/>
        </w:rPr>
        <w:t>。</w:t>
      </w:r>
      <w:r>
        <w:rPr>
          <w:rFonts w:ascii="宋体" w:eastAsia="宋体" w:hAnsi="宋体" w:cs="宋体"/>
          <w:sz w:val="24"/>
          <w:szCs w:val="24"/>
          <w:lang w:eastAsia="zh-CN"/>
        </w:rPr>
        <w:t>成交供应商</w:t>
      </w:r>
      <w:r w:rsidR="00386AB1">
        <w:rPr>
          <w:rFonts w:ascii="宋体" w:eastAsia="宋体" w:hAnsi="宋体" w:cs="宋体"/>
          <w:sz w:val="24"/>
          <w:szCs w:val="24"/>
          <w:lang w:eastAsia="zh-CN"/>
        </w:rPr>
        <w:t>将</w:t>
      </w:r>
      <w:r>
        <w:rPr>
          <w:rFonts w:ascii="宋体" w:eastAsia="宋体" w:hAnsi="宋体" w:cs="宋体"/>
          <w:sz w:val="24"/>
          <w:szCs w:val="24"/>
          <w:lang w:eastAsia="zh-CN"/>
        </w:rPr>
        <w:t>承担设备故障维修、第三方检测、搬迁安装调试、售后保修、运输包装等工作以及过程中可能产生的所有费用。具体故障情况可参见技术服务要求中的服务列表。</w:t>
      </w:r>
    </w:p>
    <w:p w14:paraId="7B49F72C" w14:textId="77777777" w:rsidR="00BC256F" w:rsidRDefault="00000000">
      <w:pPr>
        <w:pStyle w:val="ab"/>
        <w:jc w:val="left"/>
        <w:rPr>
          <w:rFonts w:cs="Times New Roman"/>
          <w:sz w:val="24"/>
          <w:szCs w:val="24"/>
        </w:rPr>
      </w:pPr>
      <w:r>
        <w:rPr>
          <w:rFonts w:cs="宋体" w:hint="eastAsia"/>
          <w:sz w:val="24"/>
          <w:szCs w:val="24"/>
        </w:rPr>
        <w:t>二、技术要求</w:t>
      </w:r>
      <w:bookmarkEnd w:id="1"/>
    </w:p>
    <w:p w14:paraId="634F9AF4" w14:textId="77777777" w:rsidR="00BC256F"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1、总体要求</w:t>
      </w:r>
    </w:p>
    <w:p w14:paraId="7FF87FEB" w14:textId="77777777" w:rsidR="00BC256F" w:rsidRDefault="00000000">
      <w:pPr>
        <w:pStyle w:val="null3"/>
        <w:ind w:firstLineChars="200" w:firstLine="480"/>
        <w:rPr>
          <w:rFonts w:ascii="宋体" w:eastAsia="宋体" w:hAnsi="宋体" w:cs="宋体"/>
          <w:sz w:val="24"/>
          <w:szCs w:val="24"/>
          <w:lang w:eastAsia="zh-CN"/>
        </w:rPr>
      </w:pPr>
      <w:r>
        <w:rPr>
          <w:rFonts w:ascii="宋体" w:eastAsia="宋体" w:hAnsi="宋体" w:cs="宋体"/>
          <w:sz w:val="24"/>
          <w:szCs w:val="24"/>
          <w:lang w:eastAsia="zh-CN"/>
        </w:rPr>
        <w:t>对出现故障的技术设备进行检查和维修，使其能恢复至正常工作状态。服务内容主要包括：</w:t>
      </w:r>
    </w:p>
    <w:p w14:paraId="77FD4CA1" w14:textId="77777777" w:rsidR="00BC256F"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（1）漳州港站EB50</w:t>
      </w:r>
      <w:r>
        <w:rPr>
          <w:rFonts w:ascii="宋体" w:eastAsia="宋体" w:hAnsi="宋体" w:cs="宋体" w:hint="default"/>
          <w:sz w:val="24"/>
          <w:szCs w:val="24"/>
          <w:lang w:eastAsia="zh-CN"/>
        </w:rPr>
        <w:t>0</w:t>
      </w:r>
      <w:r>
        <w:rPr>
          <w:rFonts w:ascii="宋体" w:eastAsia="宋体" w:hAnsi="宋体" w:cs="宋体"/>
          <w:sz w:val="24"/>
          <w:szCs w:val="24"/>
          <w:lang w:eastAsia="zh-CN"/>
        </w:rPr>
        <w:t>预选器模块损坏、接收电平差等故障，需维修并进行整机功能性测试，并出具带有中国计量认证（CMA）标记或者中国合格评定国家认可委员会（CNAS）标记的检测报告；</w:t>
      </w:r>
    </w:p>
    <w:p w14:paraId="7F6F5887" w14:textId="77777777" w:rsidR="00BC256F"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（2）云霄高铁站EB50</w:t>
      </w:r>
      <w:r>
        <w:rPr>
          <w:rFonts w:ascii="宋体" w:eastAsia="宋体" w:hAnsi="宋体" w:cs="宋体" w:hint="default"/>
          <w:sz w:val="24"/>
          <w:szCs w:val="24"/>
          <w:lang w:eastAsia="zh-CN"/>
        </w:rPr>
        <w:t>0</w:t>
      </w:r>
      <w:r>
        <w:rPr>
          <w:rFonts w:ascii="宋体" w:eastAsia="宋体" w:hAnsi="宋体" w:cs="宋体"/>
          <w:sz w:val="24"/>
          <w:szCs w:val="24"/>
          <w:lang w:eastAsia="zh-CN"/>
        </w:rPr>
        <w:t>预选器模块损坏、接收电平差等故障，需维修并进行整机功能性测试，并出具带有中国计量认证（CMA）标记或者中国合格评定国家认可委员会（CNAS）标记的检测报告；</w:t>
      </w:r>
    </w:p>
    <w:p w14:paraId="0134DD88" w14:textId="77777777" w:rsidR="00BC256F" w:rsidRDefault="00000000">
      <w:pPr>
        <w:pStyle w:val="null3"/>
        <w:jc w:val="both"/>
        <w:rPr>
          <w:rFonts w:ascii="宋体" w:eastAsia="宋体" w:hAnsi="宋体" w:cs="宋体"/>
          <w:sz w:val="24"/>
          <w:szCs w:val="24"/>
          <w:lang w:eastAsia="zh-CN"/>
        </w:rPr>
      </w:pPr>
      <w:bookmarkStart w:id="2" w:name="_Hlk183442122"/>
      <w:r>
        <w:rPr>
          <w:rFonts w:ascii="宋体" w:eastAsia="宋体" w:hAnsi="宋体" w:cs="宋体"/>
          <w:sz w:val="24"/>
          <w:szCs w:val="24"/>
          <w:lang w:eastAsia="zh-CN"/>
        </w:rPr>
        <w:t>（</w:t>
      </w:r>
      <w:r>
        <w:rPr>
          <w:rFonts w:ascii="宋体" w:eastAsia="宋体" w:hAnsi="宋体" w:cs="宋体" w:hint="default"/>
          <w:sz w:val="24"/>
          <w:szCs w:val="24"/>
          <w:lang w:eastAsia="zh-CN"/>
        </w:rPr>
        <w:t>3</w:t>
      </w:r>
      <w:r>
        <w:rPr>
          <w:rFonts w:ascii="宋体" w:eastAsia="宋体" w:hAnsi="宋体" w:cs="宋体"/>
          <w:sz w:val="24"/>
          <w:szCs w:val="24"/>
          <w:lang w:eastAsia="zh-CN"/>
        </w:rPr>
        <w:t>）龙海岛美站控制软件操作不了，</w:t>
      </w:r>
      <w:bookmarkStart w:id="3" w:name="_Hlk183442158"/>
      <w:r>
        <w:rPr>
          <w:rFonts w:ascii="宋体" w:eastAsia="宋体" w:hAnsi="宋体" w:cs="宋体"/>
          <w:sz w:val="24"/>
          <w:szCs w:val="24"/>
          <w:lang w:eastAsia="zh-CN"/>
        </w:rPr>
        <w:t>ESMC通讯模块故障</w:t>
      </w:r>
      <w:bookmarkEnd w:id="3"/>
      <w:r>
        <w:rPr>
          <w:rFonts w:ascii="宋体" w:eastAsia="宋体" w:hAnsi="宋体" w:cs="宋体"/>
          <w:sz w:val="24"/>
          <w:szCs w:val="24"/>
          <w:lang w:eastAsia="zh-CN"/>
        </w:rPr>
        <w:t>需维修；</w:t>
      </w:r>
      <w:bookmarkEnd w:id="2"/>
    </w:p>
    <w:p w14:paraId="642353D7" w14:textId="77777777" w:rsidR="00BC256F" w:rsidRDefault="00000000">
      <w:pPr>
        <w:pStyle w:val="null3"/>
        <w:jc w:val="both"/>
        <w:rPr>
          <w:rFonts w:ascii="宋体" w:eastAsia="宋体" w:hAnsi="宋体" w:cs="宋体"/>
          <w:sz w:val="24"/>
          <w:szCs w:val="24"/>
          <w:lang w:eastAsia="zh-CN"/>
        </w:rPr>
      </w:pPr>
      <w:bookmarkStart w:id="4" w:name="_Hlk183442152"/>
      <w:r>
        <w:rPr>
          <w:rFonts w:ascii="宋体" w:eastAsia="宋体" w:hAnsi="宋体" w:cs="宋体"/>
          <w:sz w:val="24"/>
          <w:szCs w:val="24"/>
          <w:lang w:eastAsia="zh-CN"/>
        </w:rPr>
        <w:t>（4）</w:t>
      </w:r>
      <w:bookmarkEnd w:id="4"/>
      <w:r>
        <w:rPr>
          <w:rFonts w:ascii="宋体" w:eastAsia="宋体" w:hAnsi="宋体" w:cs="宋体"/>
          <w:sz w:val="24"/>
          <w:szCs w:val="24"/>
          <w:lang w:eastAsia="zh-CN"/>
        </w:rPr>
        <w:t>龙海镇海角站测向乱摆，质量和电平值偏低</w:t>
      </w:r>
      <w:bookmarkStart w:id="5" w:name="_Hlk183442133"/>
      <w:r>
        <w:rPr>
          <w:rFonts w:ascii="宋体" w:eastAsia="宋体" w:hAnsi="宋体" w:cs="宋体"/>
          <w:sz w:val="24"/>
          <w:szCs w:val="24"/>
          <w:lang w:eastAsia="zh-CN"/>
        </w:rPr>
        <w:t>，线缆断裂</w:t>
      </w:r>
      <w:bookmarkEnd w:id="5"/>
      <w:r>
        <w:rPr>
          <w:rFonts w:ascii="宋体" w:eastAsia="宋体" w:hAnsi="宋体" w:cs="宋体"/>
          <w:sz w:val="24"/>
          <w:szCs w:val="24"/>
          <w:lang w:eastAsia="zh-CN"/>
        </w:rPr>
        <w:t>，需更换测向系统控制线、馈线跳线及接地线；</w:t>
      </w:r>
    </w:p>
    <w:p w14:paraId="3A544A1B" w14:textId="77777777" w:rsidR="00BC256F" w:rsidRDefault="00000000">
      <w:pPr>
        <w:pStyle w:val="null3"/>
        <w:jc w:val="both"/>
        <w:rPr>
          <w:rFonts w:ascii="宋体" w:eastAsia="宋体" w:hAnsi="宋体" w:cs="宋体"/>
          <w:sz w:val="24"/>
          <w:szCs w:val="24"/>
          <w:lang w:eastAsia="zh-CN"/>
        </w:rPr>
      </w:pPr>
      <w:bookmarkStart w:id="6" w:name="_Hlk183442199"/>
      <w:r>
        <w:rPr>
          <w:rFonts w:ascii="宋体" w:eastAsia="宋体" w:hAnsi="宋体" w:cs="宋体"/>
          <w:sz w:val="24"/>
          <w:szCs w:val="24"/>
          <w:lang w:eastAsia="zh-CN"/>
        </w:rPr>
        <w:t>（</w:t>
      </w:r>
      <w:r>
        <w:rPr>
          <w:rFonts w:ascii="宋体" w:eastAsia="宋体" w:hAnsi="宋体" w:cs="宋体" w:hint="default"/>
          <w:sz w:val="24"/>
          <w:szCs w:val="24"/>
          <w:lang w:eastAsia="zh-CN"/>
        </w:rPr>
        <w:t>5</w:t>
      </w:r>
      <w:r>
        <w:rPr>
          <w:rFonts w:ascii="宋体" w:eastAsia="宋体" w:hAnsi="宋体" w:cs="宋体"/>
          <w:sz w:val="24"/>
          <w:szCs w:val="24"/>
          <w:lang w:eastAsia="zh-CN"/>
        </w:rPr>
        <w:t>）ADD253天线</w:t>
      </w:r>
      <w:bookmarkStart w:id="7" w:name="_Hlk183442221"/>
      <w:bookmarkEnd w:id="6"/>
      <w:r>
        <w:rPr>
          <w:rFonts w:ascii="宋体" w:eastAsia="宋体" w:hAnsi="宋体" w:cs="宋体"/>
          <w:sz w:val="24"/>
          <w:szCs w:val="24"/>
          <w:lang w:eastAsia="zh-CN"/>
        </w:rPr>
        <w:t>控制板故障</w:t>
      </w:r>
      <w:bookmarkEnd w:id="7"/>
      <w:r>
        <w:rPr>
          <w:rFonts w:ascii="宋体" w:eastAsia="宋体" w:hAnsi="宋体" w:cs="宋体"/>
          <w:sz w:val="24"/>
          <w:szCs w:val="24"/>
          <w:lang w:eastAsia="zh-CN"/>
        </w:rPr>
        <w:t>需维修、射频板故障需维修及需更换控制电缆；</w:t>
      </w:r>
    </w:p>
    <w:p w14:paraId="0F2F991F" w14:textId="77777777" w:rsidR="00BC256F" w:rsidRDefault="00000000">
      <w:pPr>
        <w:pStyle w:val="null3"/>
        <w:jc w:val="both"/>
        <w:rPr>
          <w:rFonts w:ascii="宋体" w:eastAsia="宋体" w:hAnsi="宋体" w:cs="宋体"/>
          <w:sz w:val="24"/>
          <w:szCs w:val="24"/>
          <w:lang w:eastAsia="zh-CN"/>
        </w:rPr>
      </w:pPr>
      <w:bookmarkStart w:id="8" w:name="_Hlk183442304"/>
      <w:r>
        <w:rPr>
          <w:rFonts w:ascii="宋体" w:eastAsia="宋体" w:hAnsi="宋体" w:cs="宋体"/>
          <w:sz w:val="24"/>
          <w:szCs w:val="24"/>
          <w:lang w:eastAsia="zh-CN"/>
        </w:rPr>
        <w:t>（</w:t>
      </w:r>
      <w:r>
        <w:rPr>
          <w:rFonts w:ascii="宋体" w:eastAsia="宋体" w:hAnsi="宋体" w:cs="宋体" w:hint="default"/>
          <w:sz w:val="24"/>
          <w:szCs w:val="24"/>
          <w:lang w:eastAsia="zh-CN"/>
        </w:rPr>
        <w:t>6</w:t>
      </w:r>
      <w:r>
        <w:rPr>
          <w:rFonts w:ascii="宋体" w:eastAsia="宋体" w:hAnsi="宋体" w:cs="宋体"/>
          <w:sz w:val="24"/>
          <w:szCs w:val="24"/>
          <w:lang w:eastAsia="zh-CN"/>
        </w:rPr>
        <w:t>）EBD061电源模块</w:t>
      </w:r>
      <w:bookmarkEnd w:id="8"/>
      <w:r>
        <w:rPr>
          <w:rFonts w:ascii="宋体" w:eastAsia="宋体" w:hAnsi="宋体" w:cs="宋体"/>
          <w:sz w:val="24"/>
          <w:szCs w:val="24"/>
          <w:lang w:eastAsia="zh-CN"/>
        </w:rPr>
        <w:t>需维修；</w:t>
      </w:r>
    </w:p>
    <w:p w14:paraId="1A9A0161" w14:textId="77777777" w:rsidR="00BC256F"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hint="default"/>
          <w:sz w:val="24"/>
          <w:szCs w:val="24"/>
          <w:lang w:eastAsia="zh-CN"/>
        </w:rPr>
        <w:t>7</w:t>
      </w:r>
      <w:r>
        <w:rPr>
          <w:rFonts w:ascii="宋体" w:eastAsia="宋体" w:hAnsi="宋体" w:cs="宋体"/>
          <w:sz w:val="24"/>
          <w:szCs w:val="24"/>
          <w:lang w:eastAsia="zh-CN"/>
        </w:rPr>
        <w:t>）更换2块R&amp;S PR100便携式接收机电池；</w:t>
      </w:r>
    </w:p>
    <w:p w14:paraId="7D5E79F1" w14:textId="77777777" w:rsidR="00BC256F"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hint="default"/>
          <w:sz w:val="24"/>
          <w:szCs w:val="24"/>
          <w:lang w:eastAsia="zh-CN"/>
        </w:rPr>
        <w:t>8</w:t>
      </w:r>
      <w:r>
        <w:rPr>
          <w:rFonts w:ascii="宋体" w:eastAsia="宋体" w:hAnsi="宋体" w:cs="宋体"/>
          <w:sz w:val="24"/>
          <w:szCs w:val="24"/>
          <w:lang w:eastAsia="zh-CN"/>
        </w:rPr>
        <w:t>）</w:t>
      </w:r>
      <w:bookmarkStart w:id="9" w:name="_Hlk183442271"/>
      <w:r>
        <w:rPr>
          <w:rFonts w:ascii="宋体" w:eastAsia="宋体" w:hAnsi="宋体" w:cs="宋体"/>
          <w:sz w:val="24"/>
          <w:szCs w:val="24"/>
          <w:lang w:eastAsia="zh-CN"/>
        </w:rPr>
        <w:t>漳州市无线电管理局14楼控制中心AMX中控控制系统进行系统授权、控制系统程序重编和控制线路、显示信号、音频信号的整理；</w:t>
      </w:r>
    </w:p>
    <w:bookmarkEnd w:id="9"/>
    <w:p w14:paraId="4B58BF03" w14:textId="77777777" w:rsidR="00BC256F"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hint="default"/>
          <w:sz w:val="24"/>
          <w:szCs w:val="24"/>
          <w:lang w:eastAsia="zh-CN"/>
        </w:rPr>
        <w:t>9</w:t>
      </w:r>
      <w:r>
        <w:rPr>
          <w:rFonts w:ascii="宋体" w:eastAsia="宋体" w:hAnsi="宋体" w:cs="宋体"/>
          <w:sz w:val="24"/>
          <w:szCs w:val="24"/>
          <w:lang w:eastAsia="zh-CN"/>
        </w:rPr>
        <w:t>）南靖EB500搬迁至漳浦东吴村边海站、完成调试及配套设施布置。</w:t>
      </w:r>
    </w:p>
    <w:p w14:paraId="07523FDF" w14:textId="77777777" w:rsidR="00BC256F" w:rsidRDefault="00000000">
      <w:pPr>
        <w:pStyle w:val="null3"/>
        <w:jc w:val="both"/>
        <w:rPr>
          <w:rFonts w:ascii="宋体" w:eastAsia="宋体" w:hAnsi="宋体" w:cs="宋体"/>
          <w:sz w:val="24"/>
          <w:szCs w:val="24"/>
          <w:lang w:eastAsia="zh-CN"/>
        </w:rPr>
      </w:pPr>
      <w:r>
        <w:rPr>
          <w:rFonts w:ascii="宋体" w:eastAsia="宋体" w:hAnsi="宋体" w:cs="宋体"/>
          <w:sz w:val="24"/>
          <w:szCs w:val="24"/>
          <w:lang w:eastAsia="zh-CN"/>
        </w:rPr>
        <w:t>2、详细维修内容及服务列表</w:t>
      </w:r>
    </w:p>
    <w:tbl>
      <w:tblPr>
        <w:tblW w:w="5006" w:type="pct"/>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614"/>
        <w:gridCol w:w="3219"/>
        <w:gridCol w:w="851"/>
        <w:gridCol w:w="846"/>
        <w:gridCol w:w="2776"/>
      </w:tblGrid>
      <w:tr w:rsidR="00BC256F" w14:paraId="13A191F1" w14:textId="77777777">
        <w:tc>
          <w:tcPr>
            <w:tcW w:w="36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68F0A0" w14:textId="77777777" w:rsidR="00BC256F" w:rsidRDefault="00000000">
            <w:pPr>
              <w:pStyle w:val="null3"/>
              <w:jc w:val="center"/>
              <w:rPr>
                <w:rFonts w:ascii="宋体" w:eastAsia="宋体" w:hAnsi="宋体" w:cs="宋体"/>
                <w:sz w:val="24"/>
              </w:rPr>
            </w:pPr>
            <w:r>
              <w:rPr>
                <w:rFonts w:ascii="宋体" w:eastAsia="宋体" w:hAnsi="宋体" w:cs="宋体"/>
                <w:sz w:val="24"/>
              </w:rPr>
              <w:t>序号</w:t>
            </w:r>
          </w:p>
        </w:tc>
        <w:tc>
          <w:tcPr>
            <w:tcW w:w="1937" w:type="pct"/>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49E4272E" w14:textId="77777777" w:rsidR="00BC256F" w:rsidRDefault="00000000">
            <w:pPr>
              <w:pStyle w:val="null3"/>
              <w:jc w:val="center"/>
              <w:rPr>
                <w:rFonts w:ascii="宋体" w:eastAsia="宋体" w:hAnsi="宋体" w:cs="宋体"/>
                <w:sz w:val="24"/>
              </w:rPr>
            </w:pPr>
            <w:r>
              <w:rPr>
                <w:rFonts w:ascii="宋体" w:eastAsia="宋体" w:hAnsi="宋体" w:cs="宋体"/>
                <w:sz w:val="24"/>
              </w:rPr>
              <w:t>设备名称</w:t>
            </w:r>
          </w:p>
        </w:tc>
        <w:tc>
          <w:tcPr>
            <w:tcW w:w="512" w:type="pct"/>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50BFEFB2" w14:textId="77777777" w:rsidR="00BC256F" w:rsidRDefault="00000000">
            <w:pPr>
              <w:pStyle w:val="null3"/>
              <w:jc w:val="center"/>
              <w:rPr>
                <w:rFonts w:ascii="宋体" w:eastAsia="宋体" w:hAnsi="宋体" w:cs="宋体"/>
                <w:sz w:val="24"/>
              </w:rPr>
            </w:pPr>
            <w:r>
              <w:rPr>
                <w:rFonts w:ascii="宋体" w:eastAsia="宋体" w:hAnsi="宋体" w:cs="宋体"/>
                <w:sz w:val="24"/>
              </w:rPr>
              <w:t>数量</w:t>
            </w:r>
          </w:p>
        </w:tc>
        <w:tc>
          <w:tcPr>
            <w:tcW w:w="509" w:type="pct"/>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6E5B4D4A" w14:textId="77777777" w:rsidR="00BC256F" w:rsidRDefault="00000000">
            <w:pPr>
              <w:pStyle w:val="null3"/>
              <w:jc w:val="center"/>
              <w:rPr>
                <w:rFonts w:ascii="宋体" w:eastAsia="宋体" w:hAnsi="宋体" w:cs="宋体"/>
                <w:sz w:val="24"/>
                <w:highlight w:val="yellow"/>
              </w:rPr>
            </w:pPr>
            <w:r>
              <w:rPr>
                <w:rFonts w:ascii="宋体" w:eastAsia="宋体" w:hAnsi="宋体" w:cs="宋体"/>
                <w:sz w:val="24"/>
                <w:highlight w:val="yellow"/>
              </w:rPr>
              <w:t>原厂家</w:t>
            </w:r>
          </w:p>
        </w:tc>
        <w:tc>
          <w:tcPr>
            <w:tcW w:w="1670" w:type="pct"/>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tcPr>
          <w:p w14:paraId="3FB0F09E" w14:textId="77777777" w:rsidR="00BC256F" w:rsidRDefault="00000000">
            <w:pPr>
              <w:pStyle w:val="null3"/>
              <w:jc w:val="center"/>
              <w:rPr>
                <w:rFonts w:ascii="宋体" w:eastAsia="宋体" w:hAnsi="宋体" w:cs="宋体"/>
                <w:sz w:val="24"/>
              </w:rPr>
            </w:pPr>
            <w:r>
              <w:rPr>
                <w:rFonts w:ascii="宋体" w:eastAsia="宋体" w:hAnsi="宋体" w:cs="宋体"/>
                <w:sz w:val="24"/>
              </w:rPr>
              <w:t>服务内容</w:t>
            </w:r>
          </w:p>
        </w:tc>
      </w:tr>
      <w:tr w:rsidR="00BC256F" w14:paraId="4317FB2D" w14:textId="77777777">
        <w:tc>
          <w:tcPr>
            <w:tcW w:w="369" w:type="pct"/>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386890C3" w14:textId="77777777" w:rsidR="00BC256F" w:rsidRDefault="00000000">
            <w:pPr>
              <w:pStyle w:val="null3"/>
              <w:jc w:val="center"/>
              <w:rPr>
                <w:rFonts w:ascii="宋体" w:eastAsia="宋体" w:hAnsi="宋体" w:cs="宋体"/>
                <w:sz w:val="24"/>
              </w:rPr>
            </w:pPr>
            <w:r>
              <w:rPr>
                <w:rFonts w:ascii="宋体" w:eastAsia="宋体" w:hAnsi="宋体" w:cs="宋体"/>
                <w:sz w:val="24"/>
              </w:rPr>
              <w:t>（1）</w:t>
            </w:r>
          </w:p>
        </w:tc>
        <w:tc>
          <w:tcPr>
            <w:tcW w:w="1937"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23598C56" w14:textId="77777777" w:rsidR="00BC256F" w:rsidRDefault="00000000">
            <w:pPr>
              <w:pStyle w:val="null3"/>
              <w:jc w:val="center"/>
              <w:rPr>
                <w:rFonts w:ascii="宋体" w:eastAsia="宋体" w:hAnsi="宋体" w:cs="宋体"/>
                <w:sz w:val="24"/>
              </w:rPr>
            </w:pPr>
            <w:r>
              <w:rPr>
                <w:rFonts w:ascii="宋体" w:eastAsia="宋体" w:hAnsi="宋体" w:cs="宋体"/>
                <w:sz w:val="24"/>
              </w:rPr>
              <w:t>EB500接收机，系列号:101333</w:t>
            </w:r>
            <w:r>
              <w:rPr>
                <w:rFonts w:ascii="宋体" w:eastAsia="宋体" w:hAnsi="宋体" w:cs="宋体" w:hint="default"/>
                <w:sz w:val="24"/>
              </w:rPr>
              <w:t>0</w:t>
            </w:r>
            <w:r>
              <w:rPr>
                <w:rFonts w:ascii="宋体" w:eastAsia="宋体" w:hAnsi="宋体" w:cs="宋体"/>
                <w:sz w:val="24"/>
              </w:rPr>
              <w:t>（漳州港站）</w:t>
            </w:r>
          </w:p>
        </w:tc>
        <w:tc>
          <w:tcPr>
            <w:tcW w:w="512"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3D6978DD" w14:textId="77777777" w:rsidR="00BC256F" w:rsidRDefault="00000000">
            <w:pPr>
              <w:pStyle w:val="null3"/>
              <w:jc w:val="center"/>
              <w:rPr>
                <w:rFonts w:ascii="宋体" w:eastAsia="宋体" w:hAnsi="宋体" w:cs="宋体"/>
                <w:sz w:val="24"/>
              </w:rPr>
            </w:pPr>
            <w:r>
              <w:rPr>
                <w:rFonts w:ascii="宋体" w:eastAsia="宋体" w:hAnsi="宋体" w:cs="宋体"/>
                <w:sz w:val="24"/>
              </w:rPr>
              <w:t>1台</w:t>
            </w:r>
          </w:p>
        </w:tc>
        <w:tc>
          <w:tcPr>
            <w:tcW w:w="509"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124E83EA" w14:textId="77777777" w:rsidR="00BC256F" w:rsidRDefault="00000000">
            <w:pPr>
              <w:pStyle w:val="null3"/>
              <w:jc w:val="center"/>
              <w:rPr>
                <w:rFonts w:ascii="宋体" w:eastAsia="宋体" w:hAnsi="宋体" w:cs="宋体"/>
                <w:sz w:val="24"/>
                <w:highlight w:val="yellow"/>
              </w:rPr>
            </w:pPr>
            <w:r>
              <w:rPr>
                <w:rFonts w:ascii="宋体" w:eastAsia="宋体" w:hAnsi="宋体" w:cs="宋体"/>
                <w:sz w:val="24"/>
                <w:highlight w:val="yellow"/>
              </w:rPr>
              <w:t>R&amp;S</w:t>
            </w: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69276260" w14:textId="77777777" w:rsidR="00BC256F" w:rsidRDefault="00000000">
            <w:pPr>
              <w:pStyle w:val="null3"/>
              <w:jc w:val="center"/>
              <w:rPr>
                <w:rFonts w:ascii="宋体" w:eastAsia="宋体" w:hAnsi="宋体" w:cs="宋体"/>
                <w:sz w:val="24"/>
              </w:rPr>
            </w:pPr>
            <w:r>
              <w:rPr>
                <w:rFonts w:ascii="宋体" w:eastAsia="宋体" w:hAnsi="宋体" w:cs="宋体"/>
                <w:sz w:val="24"/>
              </w:rPr>
              <w:t>预选器模块损坏故障维修</w:t>
            </w:r>
          </w:p>
        </w:tc>
      </w:tr>
      <w:tr w:rsidR="00BC256F" w14:paraId="75977C1B" w14:textId="77777777">
        <w:tc>
          <w:tcPr>
            <w:tcW w:w="369" w:type="pct"/>
            <w:vMerge/>
            <w:tcBorders>
              <w:top w:val="nil"/>
              <w:left w:val="single" w:sz="4" w:space="0" w:color="000000"/>
              <w:bottom w:val="single" w:sz="4" w:space="0" w:color="000000"/>
              <w:right w:val="single" w:sz="4" w:space="0" w:color="000000"/>
            </w:tcBorders>
            <w:vAlign w:val="center"/>
          </w:tcPr>
          <w:p w14:paraId="0A0BB7AE" w14:textId="77777777" w:rsidR="00BC256F" w:rsidRDefault="00BC256F">
            <w:pPr>
              <w:pStyle w:val="null3"/>
              <w:jc w:val="center"/>
              <w:rPr>
                <w:rFonts w:ascii="宋体" w:eastAsia="宋体" w:hAnsi="宋体" w:cs="宋体"/>
                <w:sz w:val="24"/>
              </w:rPr>
            </w:pPr>
          </w:p>
        </w:tc>
        <w:tc>
          <w:tcPr>
            <w:tcW w:w="1937" w:type="pct"/>
            <w:vMerge/>
            <w:tcBorders>
              <w:top w:val="nil"/>
              <w:left w:val="nil"/>
              <w:bottom w:val="single" w:sz="4" w:space="0" w:color="000000"/>
              <w:right w:val="single" w:sz="4" w:space="0" w:color="000000"/>
            </w:tcBorders>
            <w:vAlign w:val="center"/>
          </w:tcPr>
          <w:p w14:paraId="7E9248E0" w14:textId="77777777" w:rsidR="00BC256F" w:rsidRDefault="00BC256F">
            <w:pPr>
              <w:pStyle w:val="null3"/>
              <w:jc w:val="center"/>
              <w:rPr>
                <w:rFonts w:ascii="宋体" w:eastAsia="宋体" w:hAnsi="宋体" w:cs="宋体"/>
                <w:sz w:val="24"/>
              </w:rPr>
            </w:pPr>
          </w:p>
        </w:tc>
        <w:tc>
          <w:tcPr>
            <w:tcW w:w="512" w:type="pct"/>
            <w:vMerge/>
            <w:tcBorders>
              <w:top w:val="nil"/>
              <w:left w:val="nil"/>
              <w:bottom w:val="single" w:sz="4" w:space="0" w:color="000000"/>
              <w:right w:val="single" w:sz="4" w:space="0" w:color="000000"/>
            </w:tcBorders>
            <w:vAlign w:val="center"/>
          </w:tcPr>
          <w:p w14:paraId="4D02C232" w14:textId="77777777" w:rsidR="00BC256F" w:rsidRDefault="00BC256F">
            <w:pPr>
              <w:pStyle w:val="null3"/>
              <w:jc w:val="center"/>
              <w:rPr>
                <w:rFonts w:ascii="宋体" w:eastAsia="宋体" w:hAnsi="宋体" w:cs="宋体"/>
                <w:sz w:val="24"/>
              </w:rPr>
            </w:pPr>
          </w:p>
        </w:tc>
        <w:tc>
          <w:tcPr>
            <w:tcW w:w="509" w:type="pct"/>
            <w:vMerge/>
            <w:tcBorders>
              <w:top w:val="nil"/>
              <w:left w:val="nil"/>
              <w:bottom w:val="single" w:sz="4" w:space="0" w:color="000000"/>
              <w:right w:val="single" w:sz="4" w:space="0" w:color="000000"/>
            </w:tcBorders>
            <w:vAlign w:val="center"/>
          </w:tcPr>
          <w:p w14:paraId="7DE0C5B6" w14:textId="77777777" w:rsidR="00BC256F" w:rsidRDefault="00BC256F">
            <w:pPr>
              <w:pStyle w:val="null3"/>
              <w:jc w:val="center"/>
              <w:rPr>
                <w:rFonts w:ascii="宋体" w:eastAsia="宋体" w:hAnsi="宋体" w:cs="宋体"/>
                <w:sz w:val="24"/>
                <w:highlight w:val="yellow"/>
              </w:rPr>
            </w:pP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330DD73F" w14:textId="77777777" w:rsidR="00BC256F" w:rsidRDefault="00000000">
            <w:pPr>
              <w:pStyle w:val="null3"/>
              <w:jc w:val="center"/>
              <w:rPr>
                <w:rFonts w:ascii="宋体" w:eastAsia="宋体" w:hAnsi="宋体" w:cs="宋体"/>
                <w:sz w:val="24"/>
              </w:rPr>
            </w:pPr>
            <w:r>
              <w:rPr>
                <w:rFonts w:ascii="宋体" w:eastAsia="宋体" w:hAnsi="宋体" w:cs="宋体"/>
                <w:sz w:val="24"/>
              </w:rPr>
              <w:t>设备整机功能性测试</w:t>
            </w:r>
          </w:p>
        </w:tc>
      </w:tr>
      <w:tr w:rsidR="00BC256F" w14:paraId="290369BE" w14:textId="77777777">
        <w:tc>
          <w:tcPr>
            <w:tcW w:w="369" w:type="pct"/>
            <w:vMerge/>
            <w:tcBorders>
              <w:top w:val="nil"/>
              <w:left w:val="single" w:sz="4" w:space="0" w:color="000000"/>
              <w:bottom w:val="single" w:sz="4" w:space="0" w:color="000000"/>
              <w:right w:val="single" w:sz="4" w:space="0" w:color="000000"/>
            </w:tcBorders>
            <w:vAlign w:val="center"/>
          </w:tcPr>
          <w:p w14:paraId="4F8103C8" w14:textId="77777777" w:rsidR="00BC256F" w:rsidRDefault="00BC256F">
            <w:pPr>
              <w:pStyle w:val="null3"/>
              <w:jc w:val="center"/>
              <w:rPr>
                <w:rFonts w:ascii="宋体" w:eastAsia="宋体" w:hAnsi="宋体" w:cs="宋体"/>
                <w:sz w:val="24"/>
              </w:rPr>
            </w:pPr>
          </w:p>
        </w:tc>
        <w:tc>
          <w:tcPr>
            <w:tcW w:w="1937" w:type="pct"/>
            <w:vMerge/>
            <w:tcBorders>
              <w:top w:val="nil"/>
              <w:left w:val="nil"/>
              <w:bottom w:val="single" w:sz="4" w:space="0" w:color="000000"/>
              <w:right w:val="single" w:sz="4" w:space="0" w:color="000000"/>
            </w:tcBorders>
            <w:vAlign w:val="center"/>
          </w:tcPr>
          <w:p w14:paraId="237ADFC2" w14:textId="77777777" w:rsidR="00BC256F" w:rsidRDefault="00BC256F">
            <w:pPr>
              <w:pStyle w:val="null3"/>
              <w:jc w:val="center"/>
              <w:rPr>
                <w:rFonts w:ascii="宋体" w:eastAsia="宋体" w:hAnsi="宋体" w:cs="宋体"/>
                <w:sz w:val="24"/>
              </w:rPr>
            </w:pPr>
          </w:p>
        </w:tc>
        <w:tc>
          <w:tcPr>
            <w:tcW w:w="512" w:type="pct"/>
            <w:vMerge/>
            <w:tcBorders>
              <w:top w:val="nil"/>
              <w:left w:val="nil"/>
              <w:bottom w:val="single" w:sz="4" w:space="0" w:color="000000"/>
              <w:right w:val="single" w:sz="4" w:space="0" w:color="000000"/>
            </w:tcBorders>
            <w:vAlign w:val="center"/>
          </w:tcPr>
          <w:p w14:paraId="3BE6CF9F" w14:textId="77777777" w:rsidR="00BC256F" w:rsidRDefault="00BC256F">
            <w:pPr>
              <w:pStyle w:val="null3"/>
              <w:jc w:val="center"/>
              <w:rPr>
                <w:rFonts w:ascii="宋体" w:eastAsia="宋体" w:hAnsi="宋体" w:cs="宋体"/>
                <w:sz w:val="24"/>
              </w:rPr>
            </w:pPr>
          </w:p>
        </w:tc>
        <w:tc>
          <w:tcPr>
            <w:tcW w:w="509" w:type="pct"/>
            <w:vMerge/>
            <w:tcBorders>
              <w:top w:val="nil"/>
              <w:left w:val="nil"/>
              <w:bottom w:val="single" w:sz="4" w:space="0" w:color="000000"/>
              <w:right w:val="single" w:sz="4" w:space="0" w:color="000000"/>
            </w:tcBorders>
            <w:vAlign w:val="center"/>
          </w:tcPr>
          <w:p w14:paraId="20B7DECE" w14:textId="77777777" w:rsidR="00BC256F" w:rsidRDefault="00BC256F">
            <w:pPr>
              <w:pStyle w:val="null3"/>
              <w:jc w:val="center"/>
              <w:rPr>
                <w:rFonts w:ascii="宋体" w:eastAsia="宋体" w:hAnsi="宋体" w:cs="宋体"/>
                <w:sz w:val="24"/>
                <w:highlight w:val="yellow"/>
              </w:rPr>
            </w:pP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48EB48B9" w14:textId="77777777" w:rsidR="00BC256F" w:rsidRDefault="00000000">
            <w:pPr>
              <w:pStyle w:val="null3"/>
              <w:jc w:val="center"/>
              <w:rPr>
                <w:rFonts w:ascii="宋体" w:eastAsia="宋体" w:hAnsi="宋体" w:cs="宋体"/>
                <w:sz w:val="24"/>
              </w:rPr>
            </w:pPr>
            <w:r>
              <w:rPr>
                <w:rFonts w:ascii="宋体" w:eastAsia="宋体" w:hAnsi="宋体" w:cs="宋体"/>
                <w:sz w:val="24"/>
              </w:rPr>
              <w:t>第三方检测报告</w:t>
            </w:r>
          </w:p>
        </w:tc>
      </w:tr>
      <w:tr w:rsidR="00BC256F" w14:paraId="26E0BE47" w14:textId="77777777">
        <w:tc>
          <w:tcPr>
            <w:tcW w:w="369" w:type="pct"/>
            <w:vMerge w:val="restar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02FC7193" w14:textId="77777777" w:rsidR="00BC256F" w:rsidRDefault="00000000">
            <w:pPr>
              <w:pStyle w:val="null3"/>
              <w:jc w:val="center"/>
              <w:rPr>
                <w:rFonts w:ascii="宋体" w:eastAsia="宋体" w:hAnsi="宋体" w:cs="宋体"/>
                <w:sz w:val="24"/>
              </w:rPr>
            </w:pPr>
            <w:r>
              <w:rPr>
                <w:rFonts w:ascii="宋体" w:eastAsia="宋体" w:hAnsi="宋体" w:cs="宋体"/>
                <w:sz w:val="24"/>
              </w:rPr>
              <w:t>（2）</w:t>
            </w:r>
          </w:p>
        </w:tc>
        <w:tc>
          <w:tcPr>
            <w:tcW w:w="1937"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22551395" w14:textId="77777777" w:rsidR="00BC256F" w:rsidRDefault="00000000">
            <w:pPr>
              <w:pStyle w:val="null3"/>
              <w:jc w:val="center"/>
              <w:rPr>
                <w:rFonts w:ascii="宋体" w:eastAsia="宋体" w:hAnsi="宋体" w:cs="宋体"/>
                <w:sz w:val="24"/>
              </w:rPr>
            </w:pPr>
            <w:r>
              <w:rPr>
                <w:rFonts w:ascii="宋体" w:eastAsia="宋体" w:hAnsi="宋体" w:cs="宋体"/>
                <w:sz w:val="24"/>
              </w:rPr>
              <w:t>EB500接收机，系列号:101712（云霄高铁站）</w:t>
            </w:r>
          </w:p>
        </w:tc>
        <w:tc>
          <w:tcPr>
            <w:tcW w:w="512"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34DD00E3" w14:textId="77777777" w:rsidR="00BC256F" w:rsidRDefault="00000000">
            <w:pPr>
              <w:pStyle w:val="null3"/>
              <w:jc w:val="center"/>
              <w:rPr>
                <w:rFonts w:ascii="宋体" w:eastAsia="宋体" w:hAnsi="宋体" w:cs="宋体"/>
                <w:sz w:val="24"/>
              </w:rPr>
            </w:pPr>
            <w:r>
              <w:rPr>
                <w:rFonts w:ascii="宋体" w:eastAsia="宋体" w:hAnsi="宋体" w:cs="宋体"/>
                <w:sz w:val="24"/>
              </w:rPr>
              <w:t>1台</w:t>
            </w:r>
          </w:p>
        </w:tc>
        <w:tc>
          <w:tcPr>
            <w:tcW w:w="509" w:type="pct"/>
            <w:vMerge w:val="restart"/>
            <w:tcBorders>
              <w:top w:val="nil"/>
              <w:left w:val="nil"/>
              <w:bottom w:val="single" w:sz="4" w:space="0" w:color="000000"/>
              <w:right w:val="single" w:sz="4" w:space="0" w:color="000000"/>
            </w:tcBorders>
            <w:tcMar>
              <w:top w:w="0" w:type="dxa"/>
              <w:left w:w="0" w:type="dxa"/>
              <w:bottom w:w="0" w:type="dxa"/>
              <w:right w:w="0" w:type="dxa"/>
            </w:tcMar>
            <w:vAlign w:val="center"/>
          </w:tcPr>
          <w:p w14:paraId="1D77E26D" w14:textId="77777777" w:rsidR="00BC256F" w:rsidRDefault="00000000">
            <w:pPr>
              <w:pStyle w:val="null3"/>
              <w:jc w:val="center"/>
              <w:rPr>
                <w:rFonts w:ascii="宋体" w:eastAsia="宋体" w:hAnsi="宋体" w:cs="宋体"/>
                <w:sz w:val="24"/>
                <w:highlight w:val="yellow"/>
              </w:rPr>
            </w:pPr>
            <w:r>
              <w:rPr>
                <w:rFonts w:ascii="宋体" w:eastAsia="宋体" w:hAnsi="宋体" w:cs="宋体"/>
                <w:sz w:val="24"/>
                <w:highlight w:val="yellow"/>
              </w:rPr>
              <w:t>R&amp;S</w:t>
            </w: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1B3640E6" w14:textId="77777777" w:rsidR="00BC256F" w:rsidRDefault="00000000">
            <w:pPr>
              <w:pStyle w:val="null3"/>
              <w:jc w:val="center"/>
              <w:rPr>
                <w:rFonts w:ascii="宋体" w:eastAsia="宋体" w:hAnsi="宋体" w:cs="宋体"/>
                <w:sz w:val="24"/>
              </w:rPr>
            </w:pPr>
            <w:r>
              <w:rPr>
                <w:rFonts w:ascii="宋体" w:eastAsia="宋体" w:hAnsi="宋体" w:cs="宋体"/>
                <w:sz w:val="24"/>
              </w:rPr>
              <w:t>射频前端模块故障维修</w:t>
            </w:r>
          </w:p>
        </w:tc>
      </w:tr>
      <w:tr w:rsidR="00BC256F" w14:paraId="6729A22A" w14:textId="77777777">
        <w:tc>
          <w:tcPr>
            <w:tcW w:w="369" w:type="pct"/>
            <w:vMerge/>
            <w:tcBorders>
              <w:top w:val="nil"/>
              <w:left w:val="single" w:sz="4" w:space="0" w:color="000000"/>
              <w:bottom w:val="single" w:sz="4" w:space="0" w:color="000000"/>
              <w:right w:val="single" w:sz="4" w:space="0" w:color="000000"/>
            </w:tcBorders>
            <w:vAlign w:val="center"/>
          </w:tcPr>
          <w:p w14:paraId="16F073AD" w14:textId="77777777" w:rsidR="00BC256F" w:rsidRDefault="00BC256F">
            <w:pPr>
              <w:pStyle w:val="null3"/>
              <w:jc w:val="center"/>
              <w:rPr>
                <w:rFonts w:ascii="宋体" w:eastAsia="宋体" w:hAnsi="宋体" w:cs="宋体"/>
                <w:sz w:val="24"/>
              </w:rPr>
            </w:pPr>
          </w:p>
        </w:tc>
        <w:tc>
          <w:tcPr>
            <w:tcW w:w="1937" w:type="pct"/>
            <w:vMerge/>
            <w:tcBorders>
              <w:top w:val="nil"/>
              <w:left w:val="nil"/>
              <w:bottom w:val="single" w:sz="4" w:space="0" w:color="000000"/>
              <w:right w:val="single" w:sz="4" w:space="0" w:color="000000"/>
            </w:tcBorders>
            <w:vAlign w:val="center"/>
          </w:tcPr>
          <w:p w14:paraId="21926B12" w14:textId="77777777" w:rsidR="00BC256F" w:rsidRDefault="00BC256F">
            <w:pPr>
              <w:pStyle w:val="null3"/>
              <w:jc w:val="center"/>
              <w:rPr>
                <w:rFonts w:ascii="宋体" w:eastAsia="宋体" w:hAnsi="宋体" w:cs="宋体"/>
                <w:sz w:val="24"/>
              </w:rPr>
            </w:pPr>
          </w:p>
        </w:tc>
        <w:tc>
          <w:tcPr>
            <w:tcW w:w="512" w:type="pct"/>
            <w:vMerge/>
            <w:tcBorders>
              <w:top w:val="nil"/>
              <w:left w:val="nil"/>
              <w:bottom w:val="single" w:sz="4" w:space="0" w:color="000000"/>
              <w:right w:val="single" w:sz="4" w:space="0" w:color="000000"/>
            </w:tcBorders>
            <w:vAlign w:val="center"/>
          </w:tcPr>
          <w:p w14:paraId="0922665D" w14:textId="77777777" w:rsidR="00BC256F" w:rsidRDefault="00BC256F">
            <w:pPr>
              <w:pStyle w:val="null3"/>
              <w:jc w:val="center"/>
              <w:rPr>
                <w:rFonts w:ascii="宋体" w:eastAsia="宋体" w:hAnsi="宋体" w:cs="宋体"/>
                <w:sz w:val="24"/>
              </w:rPr>
            </w:pPr>
          </w:p>
        </w:tc>
        <w:tc>
          <w:tcPr>
            <w:tcW w:w="509" w:type="pct"/>
            <w:vMerge/>
            <w:tcBorders>
              <w:top w:val="nil"/>
              <w:left w:val="nil"/>
              <w:bottom w:val="single" w:sz="4" w:space="0" w:color="000000"/>
              <w:right w:val="single" w:sz="4" w:space="0" w:color="000000"/>
            </w:tcBorders>
            <w:vAlign w:val="center"/>
          </w:tcPr>
          <w:p w14:paraId="07BDA294" w14:textId="77777777" w:rsidR="00BC256F" w:rsidRDefault="00BC256F">
            <w:pPr>
              <w:pStyle w:val="null3"/>
              <w:jc w:val="center"/>
              <w:rPr>
                <w:rFonts w:ascii="宋体" w:eastAsia="宋体" w:hAnsi="宋体" w:cs="宋体"/>
                <w:sz w:val="24"/>
                <w:highlight w:val="yellow"/>
              </w:rPr>
            </w:pP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1112C25D" w14:textId="77777777" w:rsidR="00BC256F" w:rsidRDefault="00000000">
            <w:pPr>
              <w:pStyle w:val="null3"/>
              <w:jc w:val="center"/>
              <w:rPr>
                <w:rFonts w:ascii="宋体" w:eastAsia="宋体" w:hAnsi="宋体" w:cs="宋体"/>
                <w:sz w:val="24"/>
              </w:rPr>
            </w:pPr>
            <w:r>
              <w:rPr>
                <w:rFonts w:ascii="宋体" w:eastAsia="宋体" w:hAnsi="宋体" w:cs="宋体"/>
                <w:sz w:val="24"/>
              </w:rPr>
              <w:t>设备整机功能性测试</w:t>
            </w:r>
          </w:p>
        </w:tc>
      </w:tr>
      <w:tr w:rsidR="00BC256F" w14:paraId="3A2B7344" w14:textId="77777777">
        <w:tc>
          <w:tcPr>
            <w:tcW w:w="369" w:type="pct"/>
            <w:vMerge/>
            <w:tcBorders>
              <w:top w:val="nil"/>
              <w:left w:val="single" w:sz="4" w:space="0" w:color="000000"/>
              <w:bottom w:val="single" w:sz="4" w:space="0" w:color="000000"/>
              <w:right w:val="single" w:sz="4" w:space="0" w:color="000000"/>
            </w:tcBorders>
            <w:vAlign w:val="center"/>
          </w:tcPr>
          <w:p w14:paraId="433F1713" w14:textId="77777777" w:rsidR="00BC256F" w:rsidRDefault="00BC256F">
            <w:pPr>
              <w:pStyle w:val="null3"/>
              <w:jc w:val="center"/>
              <w:rPr>
                <w:rFonts w:ascii="宋体" w:eastAsia="宋体" w:hAnsi="宋体" w:cs="宋体"/>
                <w:sz w:val="24"/>
              </w:rPr>
            </w:pPr>
          </w:p>
        </w:tc>
        <w:tc>
          <w:tcPr>
            <w:tcW w:w="1937" w:type="pct"/>
            <w:vMerge/>
            <w:tcBorders>
              <w:top w:val="nil"/>
              <w:left w:val="nil"/>
              <w:bottom w:val="single" w:sz="4" w:space="0" w:color="000000"/>
              <w:right w:val="single" w:sz="4" w:space="0" w:color="000000"/>
            </w:tcBorders>
            <w:vAlign w:val="center"/>
          </w:tcPr>
          <w:p w14:paraId="66650A5E" w14:textId="77777777" w:rsidR="00BC256F" w:rsidRDefault="00BC256F">
            <w:pPr>
              <w:pStyle w:val="null3"/>
              <w:jc w:val="center"/>
              <w:rPr>
                <w:rFonts w:ascii="宋体" w:eastAsia="宋体" w:hAnsi="宋体" w:cs="宋体"/>
                <w:sz w:val="24"/>
              </w:rPr>
            </w:pPr>
          </w:p>
        </w:tc>
        <w:tc>
          <w:tcPr>
            <w:tcW w:w="512" w:type="pct"/>
            <w:vMerge/>
            <w:tcBorders>
              <w:top w:val="nil"/>
              <w:left w:val="nil"/>
              <w:bottom w:val="single" w:sz="4" w:space="0" w:color="000000"/>
              <w:right w:val="single" w:sz="4" w:space="0" w:color="000000"/>
            </w:tcBorders>
            <w:vAlign w:val="center"/>
          </w:tcPr>
          <w:p w14:paraId="4D4BA984" w14:textId="77777777" w:rsidR="00BC256F" w:rsidRDefault="00BC256F">
            <w:pPr>
              <w:pStyle w:val="null3"/>
              <w:jc w:val="center"/>
              <w:rPr>
                <w:rFonts w:ascii="宋体" w:eastAsia="宋体" w:hAnsi="宋体" w:cs="宋体"/>
                <w:sz w:val="24"/>
              </w:rPr>
            </w:pPr>
          </w:p>
        </w:tc>
        <w:tc>
          <w:tcPr>
            <w:tcW w:w="509" w:type="pct"/>
            <w:vMerge/>
            <w:tcBorders>
              <w:top w:val="nil"/>
              <w:left w:val="nil"/>
              <w:bottom w:val="single" w:sz="4" w:space="0" w:color="000000"/>
              <w:right w:val="single" w:sz="4" w:space="0" w:color="000000"/>
            </w:tcBorders>
            <w:vAlign w:val="center"/>
          </w:tcPr>
          <w:p w14:paraId="6AB2FFF9" w14:textId="77777777" w:rsidR="00BC256F" w:rsidRDefault="00BC256F">
            <w:pPr>
              <w:pStyle w:val="null3"/>
              <w:jc w:val="center"/>
              <w:rPr>
                <w:rFonts w:ascii="宋体" w:eastAsia="宋体" w:hAnsi="宋体" w:cs="宋体"/>
                <w:sz w:val="24"/>
                <w:highlight w:val="yellow"/>
              </w:rPr>
            </w:pP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7012D72F" w14:textId="77777777" w:rsidR="00BC256F" w:rsidRDefault="00000000">
            <w:pPr>
              <w:pStyle w:val="null3"/>
              <w:jc w:val="center"/>
              <w:rPr>
                <w:rFonts w:ascii="宋体" w:eastAsia="宋体" w:hAnsi="宋体" w:cs="宋体"/>
                <w:sz w:val="24"/>
              </w:rPr>
            </w:pPr>
            <w:r>
              <w:rPr>
                <w:rFonts w:ascii="宋体" w:eastAsia="宋体" w:hAnsi="宋体" w:cs="宋体"/>
                <w:sz w:val="24"/>
              </w:rPr>
              <w:t>第三方检测报告</w:t>
            </w:r>
          </w:p>
        </w:tc>
      </w:tr>
      <w:tr w:rsidR="00BC256F" w14:paraId="5BEA7B76" w14:textId="77777777">
        <w:tc>
          <w:tcPr>
            <w:tcW w:w="369" w:type="pc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2FF1B898" w14:textId="77777777" w:rsidR="00BC256F" w:rsidRDefault="00000000">
            <w:pPr>
              <w:pStyle w:val="null3"/>
              <w:jc w:val="center"/>
              <w:rPr>
                <w:rFonts w:ascii="宋体" w:eastAsia="宋体" w:hAnsi="宋体" w:cs="宋体"/>
                <w:sz w:val="24"/>
              </w:rPr>
            </w:pPr>
            <w:r>
              <w:rPr>
                <w:rFonts w:ascii="宋体" w:eastAsia="宋体" w:hAnsi="宋体" w:cs="宋体"/>
                <w:sz w:val="24"/>
              </w:rPr>
              <w:t>（</w:t>
            </w:r>
            <w:r>
              <w:rPr>
                <w:rFonts w:ascii="宋体" w:eastAsia="宋体" w:hAnsi="宋体" w:cs="宋体" w:hint="default"/>
                <w:sz w:val="24"/>
              </w:rPr>
              <w:t>3</w:t>
            </w:r>
            <w:r>
              <w:rPr>
                <w:rFonts w:ascii="宋体" w:eastAsia="宋体" w:hAnsi="宋体" w:cs="宋体"/>
                <w:sz w:val="24"/>
              </w:rPr>
              <w:t>）</w:t>
            </w:r>
          </w:p>
        </w:tc>
        <w:tc>
          <w:tcPr>
            <w:tcW w:w="1937" w:type="pct"/>
            <w:tcBorders>
              <w:top w:val="nil"/>
              <w:left w:val="nil"/>
              <w:bottom w:val="single" w:sz="4" w:space="0" w:color="000000"/>
              <w:right w:val="single" w:sz="4" w:space="0" w:color="000000"/>
            </w:tcBorders>
            <w:tcMar>
              <w:top w:w="0" w:type="dxa"/>
              <w:left w:w="0" w:type="dxa"/>
              <w:bottom w:w="0" w:type="dxa"/>
              <w:right w:w="0" w:type="dxa"/>
            </w:tcMar>
            <w:vAlign w:val="center"/>
          </w:tcPr>
          <w:p w14:paraId="67435E3B" w14:textId="77777777" w:rsidR="00BC256F" w:rsidRDefault="00000000">
            <w:pPr>
              <w:pStyle w:val="null3"/>
              <w:jc w:val="center"/>
              <w:rPr>
                <w:rFonts w:ascii="宋体" w:eastAsia="宋体" w:hAnsi="宋体" w:cs="宋体"/>
                <w:sz w:val="24"/>
              </w:rPr>
            </w:pPr>
            <w:r>
              <w:rPr>
                <w:rFonts w:ascii="宋体" w:eastAsia="宋体" w:hAnsi="宋体" w:cs="宋体"/>
                <w:sz w:val="24"/>
              </w:rPr>
              <w:t>ESMC通讯模块（龙海岛美站）</w:t>
            </w:r>
          </w:p>
        </w:tc>
        <w:tc>
          <w:tcPr>
            <w:tcW w:w="512" w:type="pct"/>
            <w:tcBorders>
              <w:top w:val="nil"/>
              <w:left w:val="nil"/>
              <w:bottom w:val="single" w:sz="4" w:space="0" w:color="000000"/>
              <w:right w:val="single" w:sz="4" w:space="0" w:color="000000"/>
            </w:tcBorders>
            <w:tcMar>
              <w:top w:w="0" w:type="dxa"/>
              <w:left w:w="0" w:type="dxa"/>
              <w:bottom w:w="0" w:type="dxa"/>
              <w:right w:w="0" w:type="dxa"/>
            </w:tcMar>
            <w:vAlign w:val="center"/>
          </w:tcPr>
          <w:p w14:paraId="1E82F46C" w14:textId="77777777" w:rsidR="00BC256F" w:rsidRDefault="00000000">
            <w:pPr>
              <w:pStyle w:val="null3"/>
              <w:jc w:val="center"/>
              <w:rPr>
                <w:rFonts w:ascii="宋体" w:eastAsia="宋体" w:hAnsi="宋体" w:cs="宋体"/>
                <w:sz w:val="24"/>
              </w:rPr>
            </w:pPr>
            <w:r>
              <w:rPr>
                <w:rFonts w:ascii="宋体" w:eastAsia="宋体" w:hAnsi="宋体" w:cs="宋体"/>
                <w:sz w:val="24"/>
              </w:rPr>
              <w:t>1台</w:t>
            </w:r>
          </w:p>
        </w:tc>
        <w:tc>
          <w:tcPr>
            <w:tcW w:w="509" w:type="pct"/>
            <w:tcBorders>
              <w:top w:val="nil"/>
              <w:left w:val="nil"/>
              <w:bottom w:val="single" w:sz="4" w:space="0" w:color="000000"/>
              <w:right w:val="single" w:sz="4" w:space="0" w:color="000000"/>
            </w:tcBorders>
            <w:tcMar>
              <w:top w:w="0" w:type="dxa"/>
              <w:left w:w="0" w:type="dxa"/>
              <w:bottom w:w="0" w:type="dxa"/>
              <w:right w:w="0" w:type="dxa"/>
            </w:tcMar>
            <w:vAlign w:val="center"/>
          </w:tcPr>
          <w:p w14:paraId="20E797CC" w14:textId="77777777" w:rsidR="00BC256F" w:rsidRDefault="00000000">
            <w:pPr>
              <w:pStyle w:val="null3"/>
              <w:jc w:val="center"/>
              <w:rPr>
                <w:rFonts w:ascii="宋体" w:eastAsia="宋体" w:hAnsi="宋体" w:cs="宋体"/>
                <w:sz w:val="24"/>
                <w:highlight w:val="yellow"/>
              </w:rPr>
            </w:pPr>
            <w:r>
              <w:rPr>
                <w:rFonts w:ascii="宋体" w:eastAsia="宋体" w:hAnsi="宋体" w:cs="宋体"/>
                <w:sz w:val="24"/>
                <w:highlight w:val="yellow"/>
              </w:rPr>
              <w:t>R&amp;S</w:t>
            </w: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6FB7284D" w14:textId="77777777" w:rsidR="00BC256F" w:rsidRDefault="00000000">
            <w:pPr>
              <w:pStyle w:val="null3"/>
              <w:jc w:val="center"/>
              <w:rPr>
                <w:rFonts w:ascii="宋体" w:eastAsia="宋体" w:hAnsi="宋体" w:cs="宋体"/>
                <w:sz w:val="24"/>
              </w:rPr>
            </w:pPr>
            <w:r>
              <w:rPr>
                <w:rFonts w:ascii="宋体" w:eastAsia="宋体" w:hAnsi="宋体" w:cs="宋体"/>
                <w:sz w:val="24"/>
              </w:rPr>
              <w:t>ESMC通讯模块维修</w:t>
            </w:r>
          </w:p>
        </w:tc>
      </w:tr>
      <w:tr w:rsidR="00BC256F" w14:paraId="635F42B4" w14:textId="77777777">
        <w:tc>
          <w:tcPr>
            <w:tcW w:w="369" w:type="pc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56F3295C" w14:textId="77777777" w:rsidR="00BC256F" w:rsidRDefault="00000000">
            <w:pPr>
              <w:pStyle w:val="null3"/>
              <w:jc w:val="center"/>
              <w:rPr>
                <w:rFonts w:ascii="宋体" w:eastAsia="宋体" w:hAnsi="宋体" w:cs="宋体"/>
                <w:sz w:val="24"/>
              </w:rPr>
            </w:pPr>
            <w:r>
              <w:rPr>
                <w:rFonts w:ascii="宋体" w:eastAsia="宋体" w:hAnsi="宋体" w:cs="宋体"/>
                <w:sz w:val="24"/>
              </w:rPr>
              <w:t>（4）</w:t>
            </w:r>
          </w:p>
        </w:tc>
        <w:tc>
          <w:tcPr>
            <w:tcW w:w="1937" w:type="pct"/>
            <w:tcBorders>
              <w:top w:val="nil"/>
              <w:left w:val="nil"/>
              <w:bottom w:val="single" w:sz="4" w:space="0" w:color="000000"/>
              <w:right w:val="single" w:sz="4" w:space="0" w:color="000000"/>
            </w:tcBorders>
            <w:tcMar>
              <w:top w:w="0" w:type="dxa"/>
              <w:left w:w="0" w:type="dxa"/>
              <w:bottom w:w="0" w:type="dxa"/>
              <w:right w:w="0" w:type="dxa"/>
            </w:tcMar>
            <w:vAlign w:val="center"/>
          </w:tcPr>
          <w:p w14:paraId="49869BBE" w14:textId="77777777" w:rsidR="00BC256F" w:rsidRDefault="00000000">
            <w:pPr>
              <w:pStyle w:val="null3"/>
              <w:jc w:val="center"/>
              <w:rPr>
                <w:rFonts w:ascii="宋体" w:eastAsia="宋体" w:hAnsi="宋体" w:cs="宋体"/>
                <w:sz w:val="24"/>
              </w:rPr>
            </w:pPr>
            <w:r>
              <w:rPr>
                <w:rFonts w:ascii="宋体" w:eastAsia="宋体" w:hAnsi="宋体" w:cs="宋体"/>
                <w:sz w:val="24"/>
              </w:rPr>
              <w:t>龙海镇海角站测向系统</w:t>
            </w:r>
          </w:p>
        </w:tc>
        <w:tc>
          <w:tcPr>
            <w:tcW w:w="512" w:type="pct"/>
            <w:tcBorders>
              <w:top w:val="nil"/>
              <w:left w:val="nil"/>
              <w:bottom w:val="single" w:sz="4" w:space="0" w:color="000000"/>
              <w:right w:val="single" w:sz="4" w:space="0" w:color="000000"/>
            </w:tcBorders>
            <w:tcMar>
              <w:top w:w="0" w:type="dxa"/>
              <w:left w:w="0" w:type="dxa"/>
              <w:bottom w:w="0" w:type="dxa"/>
              <w:right w:w="0" w:type="dxa"/>
            </w:tcMar>
            <w:vAlign w:val="center"/>
          </w:tcPr>
          <w:p w14:paraId="4C11A263" w14:textId="77777777" w:rsidR="00BC256F" w:rsidRDefault="00000000">
            <w:pPr>
              <w:pStyle w:val="null3"/>
              <w:jc w:val="center"/>
              <w:rPr>
                <w:rFonts w:ascii="宋体" w:eastAsia="宋体" w:hAnsi="宋体" w:cs="宋体"/>
                <w:sz w:val="24"/>
              </w:rPr>
            </w:pPr>
            <w:r>
              <w:rPr>
                <w:rFonts w:ascii="宋体" w:eastAsia="宋体" w:hAnsi="宋体" w:cs="宋体"/>
                <w:sz w:val="24"/>
              </w:rPr>
              <w:t>1个</w:t>
            </w:r>
          </w:p>
        </w:tc>
        <w:tc>
          <w:tcPr>
            <w:tcW w:w="509" w:type="pct"/>
            <w:tcBorders>
              <w:top w:val="nil"/>
              <w:left w:val="nil"/>
              <w:bottom w:val="single" w:sz="4" w:space="0" w:color="000000"/>
              <w:right w:val="single" w:sz="4" w:space="0" w:color="000000"/>
            </w:tcBorders>
            <w:tcMar>
              <w:top w:w="0" w:type="dxa"/>
              <w:left w:w="0" w:type="dxa"/>
              <w:bottom w:w="0" w:type="dxa"/>
              <w:right w:w="0" w:type="dxa"/>
            </w:tcMar>
            <w:vAlign w:val="center"/>
          </w:tcPr>
          <w:p w14:paraId="5B8F8C0D" w14:textId="77777777" w:rsidR="00BC256F" w:rsidRDefault="00000000">
            <w:pPr>
              <w:pStyle w:val="null3"/>
              <w:jc w:val="center"/>
              <w:rPr>
                <w:rFonts w:ascii="宋体" w:eastAsia="宋体" w:hAnsi="宋体" w:cs="宋体"/>
                <w:sz w:val="24"/>
                <w:highlight w:val="yellow"/>
              </w:rPr>
            </w:pPr>
            <w:r>
              <w:rPr>
                <w:rFonts w:ascii="宋体" w:eastAsia="宋体" w:hAnsi="宋体" w:cs="宋体"/>
                <w:sz w:val="24"/>
                <w:highlight w:val="yellow"/>
              </w:rPr>
              <w:t>-</w:t>
            </w:r>
            <w:r>
              <w:rPr>
                <w:rFonts w:ascii="宋体" w:eastAsia="宋体" w:hAnsi="宋体" w:cs="宋体" w:hint="default"/>
                <w:sz w:val="24"/>
                <w:highlight w:val="yellow"/>
              </w:rPr>
              <w:t>--</w:t>
            </w: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2CFCB1A1" w14:textId="77777777" w:rsidR="00BC256F" w:rsidRDefault="00000000">
            <w:pPr>
              <w:pStyle w:val="null3"/>
              <w:jc w:val="center"/>
              <w:rPr>
                <w:rFonts w:ascii="宋体" w:eastAsia="宋体" w:hAnsi="宋体" w:cs="宋体"/>
                <w:sz w:val="24"/>
              </w:rPr>
            </w:pPr>
            <w:r>
              <w:rPr>
                <w:rFonts w:ascii="宋体" w:eastAsia="宋体" w:hAnsi="宋体" w:cs="宋体"/>
                <w:sz w:val="24"/>
              </w:rPr>
              <w:t>更换测向系统控制线、馈线跳线及接地线</w:t>
            </w:r>
          </w:p>
        </w:tc>
      </w:tr>
      <w:tr w:rsidR="00BC256F" w14:paraId="325AB93A" w14:textId="77777777">
        <w:tc>
          <w:tcPr>
            <w:tcW w:w="369" w:type="pc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021027BC" w14:textId="77777777" w:rsidR="00BC256F" w:rsidRDefault="00000000">
            <w:pPr>
              <w:pStyle w:val="null3"/>
              <w:jc w:val="center"/>
              <w:rPr>
                <w:rFonts w:ascii="宋体" w:eastAsia="宋体" w:hAnsi="宋体" w:cs="宋体"/>
                <w:sz w:val="24"/>
              </w:rPr>
            </w:pPr>
            <w:r>
              <w:rPr>
                <w:rFonts w:ascii="宋体" w:eastAsia="宋体" w:hAnsi="宋体" w:cs="宋体"/>
                <w:sz w:val="24"/>
              </w:rPr>
              <w:lastRenderedPageBreak/>
              <w:t>（5）</w:t>
            </w:r>
          </w:p>
        </w:tc>
        <w:tc>
          <w:tcPr>
            <w:tcW w:w="1937" w:type="pct"/>
            <w:tcBorders>
              <w:top w:val="nil"/>
              <w:left w:val="nil"/>
              <w:bottom w:val="single" w:sz="4" w:space="0" w:color="000000"/>
              <w:right w:val="single" w:sz="4" w:space="0" w:color="000000"/>
            </w:tcBorders>
            <w:tcMar>
              <w:top w:w="0" w:type="dxa"/>
              <w:left w:w="0" w:type="dxa"/>
              <w:bottom w:w="0" w:type="dxa"/>
              <w:right w:w="0" w:type="dxa"/>
            </w:tcMar>
            <w:vAlign w:val="center"/>
          </w:tcPr>
          <w:p w14:paraId="40D1023B" w14:textId="77777777" w:rsidR="00BC256F" w:rsidRDefault="00000000">
            <w:pPr>
              <w:pStyle w:val="null3"/>
              <w:jc w:val="center"/>
              <w:rPr>
                <w:rFonts w:ascii="宋体" w:eastAsia="宋体" w:hAnsi="宋体" w:cs="宋体"/>
                <w:sz w:val="24"/>
              </w:rPr>
            </w:pPr>
            <w:r>
              <w:rPr>
                <w:rFonts w:ascii="宋体" w:eastAsia="宋体" w:hAnsi="宋体" w:cs="宋体"/>
                <w:sz w:val="24"/>
              </w:rPr>
              <w:t>ADD253天线，系列号:100652</w:t>
            </w:r>
          </w:p>
        </w:tc>
        <w:tc>
          <w:tcPr>
            <w:tcW w:w="512" w:type="pct"/>
            <w:tcBorders>
              <w:top w:val="nil"/>
              <w:left w:val="nil"/>
              <w:bottom w:val="single" w:sz="4" w:space="0" w:color="000000"/>
              <w:right w:val="single" w:sz="4" w:space="0" w:color="000000"/>
            </w:tcBorders>
            <w:tcMar>
              <w:top w:w="0" w:type="dxa"/>
              <w:left w:w="0" w:type="dxa"/>
              <w:bottom w:w="0" w:type="dxa"/>
              <w:right w:w="0" w:type="dxa"/>
            </w:tcMar>
            <w:vAlign w:val="center"/>
          </w:tcPr>
          <w:p w14:paraId="2D4F6E59" w14:textId="77777777" w:rsidR="00BC256F" w:rsidRDefault="00000000">
            <w:pPr>
              <w:pStyle w:val="null3"/>
              <w:jc w:val="center"/>
              <w:rPr>
                <w:rFonts w:ascii="宋体" w:eastAsia="宋体" w:hAnsi="宋体" w:cs="宋体"/>
                <w:sz w:val="24"/>
              </w:rPr>
            </w:pPr>
            <w:r>
              <w:rPr>
                <w:rFonts w:ascii="宋体" w:eastAsia="宋体" w:hAnsi="宋体" w:cs="宋体"/>
                <w:sz w:val="24"/>
              </w:rPr>
              <w:t>1个</w:t>
            </w:r>
          </w:p>
        </w:tc>
        <w:tc>
          <w:tcPr>
            <w:tcW w:w="509" w:type="pct"/>
            <w:tcBorders>
              <w:top w:val="nil"/>
              <w:left w:val="nil"/>
              <w:bottom w:val="single" w:sz="4" w:space="0" w:color="000000"/>
              <w:right w:val="single" w:sz="4" w:space="0" w:color="000000"/>
            </w:tcBorders>
            <w:tcMar>
              <w:top w:w="0" w:type="dxa"/>
              <w:left w:w="0" w:type="dxa"/>
              <w:bottom w:w="0" w:type="dxa"/>
              <w:right w:w="0" w:type="dxa"/>
            </w:tcMar>
            <w:vAlign w:val="center"/>
          </w:tcPr>
          <w:p w14:paraId="5B491FCD" w14:textId="77777777" w:rsidR="00BC256F" w:rsidRDefault="00000000">
            <w:pPr>
              <w:pStyle w:val="null3"/>
              <w:jc w:val="center"/>
              <w:rPr>
                <w:rFonts w:ascii="宋体" w:eastAsia="宋体" w:hAnsi="宋体" w:cs="宋体"/>
                <w:sz w:val="24"/>
                <w:highlight w:val="yellow"/>
              </w:rPr>
            </w:pPr>
            <w:r>
              <w:rPr>
                <w:rFonts w:ascii="宋体" w:eastAsia="宋体" w:hAnsi="宋体" w:cs="宋体"/>
                <w:sz w:val="24"/>
                <w:highlight w:val="yellow"/>
              </w:rPr>
              <w:t>R&amp;S</w:t>
            </w: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1F55E2A7" w14:textId="77777777" w:rsidR="00BC256F" w:rsidRDefault="00000000">
            <w:pPr>
              <w:pStyle w:val="null3"/>
              <w:jc w:val="center"/>
              <w:rPr>
                <w:rFonts w:ascii="宋体" w:eastAsia="宋体" w:hAnsi="宋体" w:cs="宋体"/>
                <w:sz w:val="24"/>
              </w:rPr>
            </w:pPr>
            <w:r>
              <w:rPr>
                <w:rFonts w:ascii="宋体" w:eastAsia="宋体" w:hAnsi="宋体" w:cs="宋体"/>
                <w:sz w:val="24"/>
              </w:rPr>
              <w:t>控制板维修、射频板维修及更换控制电缆</w:t>
            </w:r>
          </w:p>
        </w:tc>
      </w:tr>
      <w:tr w:rsidR="00BC256F" w14:paraId="64E38538" w14:textId="77777777">
        <w:tc>
          <w:tcPr>
            <w:tcW w:w="369" w:type="pc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6286A476" w14:textId="77777777" w:rsidR="00BC256F" w:rsidRDefault="00000000">
            <w:pPr>
              <w:pStyle w:val="null3"/>
              <w:jc w:val="center"/>
              <w:rPr>
                <w:rFonts w:ascii="宋体" w:eastAsia="宋体" w:hAnsi="宋体" w:cs="宋体"/>
                <w:sz w:val="24"/>
              </w:rPr>
            </w:pPr>
            <w:r>
              <w:rPr>
                <w:rFonts w:ascii="宋体" w:eastAsia="宋体" w:hAnsi="宋体" w:cs="宋体"/>
                <w:sz w:val="24"/>
              </w:rPr>
              <w:t>（6）</w:t>
            </w:r>
          </w:p>
        </w:tc>
        <w:tc>
          <w:tcPr>
            <w:tcW w:w="1937" w:type="pct"/>
            <w:tcBorders>
              <w:top w:val="nil"/>
              <w:left w:val="nil"/>
              <w:bottom w:val="single" w:sz="4" w:space="0" w:color="000000"/>
              <w:right w:val="single" w:sz="4" w:space="0" w:color="000000"/>
            </w:tcBorders>
            <w:tcMar>
              <w:top w:w="0" w:type="dxa"/>
              <w:left w:w="0" w:type="dxa"/>
              <w:bottom w:w="0" w:type="dxa"/>
              <w:right w:w="0" w:type="dxa"/>
            </w:tcMar>
            <w:vAlign w:val="center"/>
          </w:tcPr>
          <w:p w14:paraId="62602972" w14:textId="77777777" w:rsidR="00BC256F" w:rsidRDefault="00000000">
            <w:pPr>
              <w:pStyle w:val="null3"/>
              <w:jc w:val="center"/>
              <w:rPr>
                <w:rFonts w:ascii="宋体" w:eastAsia="宋体" w:hAnsi="宋体" w:cs="宋体"/>
                <w:sz w:val="24"/>
              </w:rPr>
            </w:pPr>
            <w:r>
              <w:rPr>
                <w:rFonts w:ascii="宋体" w:eastAsia="宋体" w:hAnsi="宋体" w:cs="宋体"/>
                <w:sz w:val="24"/>
              </w:rPr>
              <w:t>EBD061电源模块，系列号:100264</w:t>
            </w:r>
          </w:p>
        </w:tc>
        <w:tc>
          <w:tcPr>
            <w:tcW w:w="512" w:type="pct"/>
            <w:tcBorders>
              <w:top w:val="nil"/>
              <w:left w:val="nil"/>
              <w:bottom w:val="single" w:sz="4" w:space="0" w:color="000000"/>
              <w:right w:val="single" w:sz="4" w:space="0" w:color="000000"/>
            </w:tcBorders>
            <w:tcMar>
              <w:top w:w="0" w:type="dxa"/>
              <w:left w:w="0" w:type="dxa"/>
              <w:bottom w:w="0" w:type="dxa"/>
              <w:right w:w="0" w:type="dxa"/>
            </w:tcMar>
            <w:vAlign w:val="center"/>
          </w:tcPr>
          <w:p w14:paraId="1E22D2E8" w14:textId="77777777" w:rsidR="00BC256F" w:rsidRDefault="00000000">
            <w:pPr>
              <w:pStyle w:val="null3"/>
              <w:jc w:val="center"/>
              <w:rPr>
                <w:rFonts w:ascii="宋体" w:eastAsia="宋体" w:hAnsi="宋体" w:cs="宋体"/>
                <w:sz w:val="24"/>
              </w:rPr>
            </w:pPr>
            <w:r>
              <w:rPr>
                <w:rFonts w:ascii="宋体" w:eastAsia="宋体" w:hAnsi="宋体" w:cs="宋体"/>
                <w:sz w:val="24"/>
              </w:rPr>
              <w:t>1个</w:t>
            </w:r>
          </w:p>
        </w:tc>
        <w:tc>
          <w:tcPr>
            <w:tcW w:w="509" w:type="pct"/>
            <w:tcBorders>
              <w:top w:val="nil"/>
              <w:left w:val="nil"/>
              <w:bottom w:val="single" w:sz="4" w:space="0" w:color="000000"/>
              <w:right w:val="single" w:sz="4" w:space="0" w:color="000000"/>
            </w:tcBorders>
            <w:tcMar>
              <w:top w:w="0" w:type="dxa"/>
              <w:left w:w="0" w:type="dxa"/>
              <w:bottom w:w="0" w:type="dxa"/>
              <w:right w:w="0" w:type="dxa"/>
            </w:tcMar>
            <w:vAlign w:val="center"/>
          </w:tcPr>
          <w:p w14:paraId="3901D59D" w14:textId="77777777" w:rsidR="00BC256F" w:rsidRDefault="00000000">
            <w:pPr>
              <w:pStyle w:val="null3"/>
              <w:jc w:val="center"/>
              <w:rPr>
                <w:rFonts w:ascii="宋体" w:eastAsia="宋体" w:hAnsi="宋体" w:cs="宋体"/>
                <w:sz w:val="24"/>
                <w:highlight w:val="yellow"/>
              </w:rPr>
            </w:pPr>
            <w:r>
              <w:rPr>
                <w:rFonts w:ascii="宋体" w:eastAsia="宋体" w:hAnsi="宋体" w:cs="宋体"/>
                <w:sz w:val="24"/>
                <w:highlight w:val="yellow"/>
              </w:rPr>
              <w:t>R&amp;S</w:t>
            </w: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166CBEE1" w14:textId="77777777" w:rsidR="00BC256F" w:rsidRDefault="00000000">
            <w:pPr>
              <w:pStyle w:val="null3"/>
              <w:jc w:val="center"/>
              <w:rPr>
                <w:rFonts w:ascii="宋体" w:eastAsia="宋体" w:hAnsi="宋体" w:cs="宋体"/>
                <w:sz w:val="24"/>
              </w:rPr>
            </w:pPr>
            <w:r>
              <w:rPr>
                <w:rFonts w:ascii="宋体" w:eastAsia="宋体" w:hAnsi="宋体" w:cs="宋体"/>
                <w:sz w:val="24"/>
              </w:rPr>
              <w:t>EBD061电源模块维修</w:t>
            </w:r>
          </w:p>
        </w:tc>
      </w:tr>
      <w:tr w:rsidR="00BC256F" w14:paraId="0AE47C62" w14:textId="77777777">
        <w:tc>
          <w:tcPr>
            <w:tcW w:w="369" w:type="pct"/>
            <w:vMerge w:val="restart"/>
            <w:tcBorders>
              <w:top w:val="nil"/>
              <w:left w:val="single" w:sz="4" w:space="0" w:color="000000"/>
              <w:right w:val="single" w:sz="4" w:space="0" w:color="000000"/>
            </w:tcBorders>
            <w:tcMar>
              <w:top w:w="0" w:type="dxa"/>
              <w:left w:w="0" w:type="dxa"/>
              <w:bottom w:w="0" w:type="dxa"/>
              <w:right w:w="0" w:type="dxa"/>
            </w:tcMar>
            <w:vAlign w:val="center"/>
          </w:tcPr>
          <w:p w14:paraId="29C293FC" w14:textId="77777777" w:rsidR="00BC256F" w:rsidRDefault="00000000">
            <w:pPr>
              <w:pStyle w:val="null3"/>
              <w:jc w:val="center"/>
              <w:rPr>
                <w:rFonts w:ascii="宋体" w:eastAsia="宋体" w:hAnsi="宋体" w:cs="宋体"/>
                <w:sz w:val="24"/>
              </w:rPr>
            </w:pPr>
            <w:r>
              <w:rPr>
                <w:rFonts w:ascii="宋体" w:eastAsia="宋体" w:hAnsi="宋体" w:cs="宋体"/>
                <w:sz w:val="24"/>
              </w:rPr>
              <w:t>（</w:t>
            </w:r>
            <w:r>
              <w:rPr>
                <w:rFonts w:ascii="宋体" w:eastAsia="宋体" w:hAnsi="宋体" w:cs="宋体"/>
                <w:sz w:val="24"/>
                <w:lang w:eastAsia="zh-CN"/>
              </w:rPr>
              <w:t>7</w:t>
            </w:r>
            <w:r>
              <w:rPr>
                <w:rFonts w:ascii="宋体" w:eastAsia="宋体" w:hAnsi="宋体" w:cs="宋体"/>
                <w:sz w:val="24"/>
              </w:rPr>
              <w:t>）</w:t>
            </w:r>
          </w:p>
        </w:tc>
        <w:tc>
          <w:tcPr>
            <w:tcW w:w="1937" w:type="pct"/>
            <w:vMerge w:val="restart"/>
            <w:tcBorders>
              <w:top w:val="nil"/>
              <w:left w:val="nil"/>
              <w:right w:val="single" w:sz="4" w:space="0" w:color="000000"/>
            </w:tcBorders>
            <w:tcMar>
              <w:top w:w="0" w:type="dxa"/>
              <w:left w:w="0" w:type="dxa"/>
              <w:bottom w:w="0" w:type="dxa"/>
              <w:right w:w="0" w:type="dxa"/>
            </w:tcMar>
            <w:vAlign w:val="center"/>
          </w:tcPr>
          <w:p w14:paraId="28B3ED62" w14:textId="77777777" w:rsidR="00BC256F" w:rsidRDefault="00000000">
            <w:pPr>
              <w:pStyle w:val="null3"/>
              <w:jc w:val="center"/>
              <w:rPr>
                <w:rFonts w:ascii="宋体" w:eastAsia="宋体" w:hAnsi="宋体" w:cs="宋体"/>
                <w:sz w:val="24"/>
              </w:rPr>
            </w:pPr>
            <w:r>
              <w:rPr>
                <w:rFonts w:ascii="宋体" w:eastAsia="宋体" w:hAnsi="宋体" w:cs="宋体"/>
                <w:sz w:val="24"/>
              </w:rPr>
              <w:t>AMX中控控制系统（漳州市无线电管理局14楼控制中心）</w:t>
            </w:r>
          </w:p>
        </w:tc>
        <w:tc>
          <w:tcPr>
            <w:tcW w:w="512" w:type="pct"/>
            <w:vMerge w:val="restart"/>
            <w:tcBorders>
              <w:top w:val="nil"/>
              <w:left w:val="nil"/>
              <w:right w:val="single" w:sz="4" w:space="0" w:color="000000"/>
            </w:tcBorders>
            <w:tcMar>
              <w:top w:w="0" w:type="dxa"/>
              <w:left w:w="0" w:type="dxa"/>
              <w:bottom w:w="0" w:type="dxa"/>
              <w:right w:w="0" w:type="dxa"/>
            </w:tcMar>
            <w:vAlign w:val="center"/>
          </w:tcPr>
          <w:p w14:paraId="19A6A358" w14:textId="77777777" w:rsidR="00BC256F" w:rsidRDefault="00000000">
            <w:pPr>
              <w:pStyle w:val="null3"/>
              <w:jc w:val="center"/>
              <w:rPr>
                <w:rFonts w:ascii="宋体" w:eastAsia="宋体" w:hAnsi="宋体" w:cs="宋体"/>
                <w:sz w:val="24"/>
              </w:rPr>
            </w:pPr>
            <w:r>
              <w:rPr>
                <w:rFonts w:ascii="宋体" w:eastAsia="宋体" w:hAnsi="宋体" w:cs="宋体"/>
                <w:sz w:val="24"/>
              </w:rPr>
              <w:t>1套</w:t>
            </w:r>
          </w:p>
        </w:tc>
        <w:tc>
          <w:tcPr>
            <w:tcW w:w="509" w:type="pct"/>
            <w:vMerge w:val="restart"/>
            <w:tcBorders>
              <w:top w:val="nil"/>
              <w:left w:val="nil"/>
              <w:right w:val="single" w:sz="4" w:space="0" w:color="000000"/>
            </w:tcBorders>
            <w:tcMar>
              <w:top w:w="0" w:type="dxa"/>
              <w:left w:w="0" w:type="dxa"/>
              <w:bottom w:w="0" w:type="dxa"/>
              <w:right w:w="0" w:type="dxa"/>
            </w:tcMar>
            <w:vAlign w:val="center"/>
          </w:tcPr>
          <w:p w14:paraId="28D5192C" w14:textId="77777777" w:rsidR="00BC256F" w:rsidRDefault="00000000">
            <w:pPr>
              <w:pStyle w:val="null3"/>
              <w:jc w:val="center"/>
              <w:rPr>
                <w:rFonts w:ascii="宋体" w:eastAsia="宋体" w:hAnsi="宋体" w:cs="宋体"/>
                <w:sz w:val="24"/>
                <w:highlight w:val="yellow"/>
              </w:rPr>
            </w:pPr>
            <w:r>
              <w:rPr>
                <w:rFonts w:ascii="宋体" w:eastAsia="宋体" w:hAnsi="宋体" w:cs="宋体"/>
                <w:sz w:val="24"/>
                <w:highlight w:val="yellow"/>
              </w:rPr>
              <w:t>-</w:t>
            </w:r>
            <w:r>
              <w:rPr>
                <w:rFonts w:ascii="宋体" w:eastAsia="宋体" w:hAnsi="宋体" w:cs="宋体" w:hint="default"/>
                <w:sz w:val="24"/>
                <w:highlight w:val="yellow"/>
              </w:rPr>
              <w:t>--</w:t>
            </w: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12337B4A" w14:textId="77777777" w:rsidR="00BC256F" w:rsidRDefault="00000000">
            <w:pPr>
              <w:pStyle w:val="null3"/>
              <w:jc w:val="center"/>
              <w:rPr>
                <w:rFonts w:ascii="宋体" w:eastAsia="宋体" w:hAnsi="宋体" w:cs="宋体"/>
                <w:sz w:val="24"/>
              </w:rPr>
            </w:pPr>
            <w:r>
              <w:rPr>
                <w:rFonts w:ascii="宋体" w:eastAsia="宋体" w:hAnsi="宋体" w:cs="宋体"/>
                <w:sz w:val="24"/>
              </w:rPr>
              <w:t>控制线路整理</w:t>
            </w:r>
          </w:p>
        </w:tc>
      </w:tr>
      <w:tr w:rsidR="00BC256F" w14:paraId="6C86EA65" w14:textId="77777777">
        <w:tc>
          <w:tcPr>
            <w:tcW w:w="369" w:type="pct"/>
            <w:vMerge/>
            <w:tcBorders>
              <w:left w:val="single" w:sz="4" w:space="0" w:color="000000"/>
              <w:right w:val="single" w:sz="4" w:space="0" w:color="000000"/>
            </w:tcBorders>
            <w:tcMar>
              <w:top w:w="0" w:type="dxa"/>
              <w:left w:w="0" w:type="dxa"/>
              <w:bottom w:w="0" w:type="dxa"/>
              <w:right w:w="0" w:type="dxa"/>
            </w:tcMar>
            <w:vAlign w:val="center"/>
          </w:tcPr>
          <w:p w14:paraId="50C15FC5" w14:textId="77777777" w:rsidR="00BC256F" w:rsidRDefault="00BC256F">
            <w:pPr>
              <w:pStyle w:val="null3"/>
              <w:jc w:val="center"/>
              <w:rPr>
                <w:rFonts w:ascii="宋体" w:eastAsia="宋体" w:hAnsi="宋体" w:cs="宋体"/>
                <w:sz w:val="24"/>
              </w:rPr>
            </w:pPr>
          </w:p>
        </w:tc>
        <w:tc>
          <w:tcPr>
            <w:tcW w:w="1937" w:type="pct"/>
            <w:vMerge/>
            <w:tcBorders>
              <w:left w:val="nil"/>
              <w:right w:val="single" w:sz="4" w:space="0" w:color="000000"/>
            </w:tcBorders>
            <w:tcMar>
              <w:top w:w="0" w:type="dxa"/>
              <w:left w:w="0" w:type="dxa"/>
              <w:bottom w:w="0" w:type="dxa"/>
              <w:right w:w="0" w:type="dxa"/>
            </w:tcMar>
            <w:vAlign w:val="center"/>
          </w:tcPr>
          <w:p w14:paraId="2583F7B0" w14:textId="77777777" w:rsidR="00BC256F" w:rsidRDefault="00BC256F">
            <w:pPr>
              <w:pStyle w:val="null3"/>
              <w:jc w:val="center"/>
              <w:rPr>
                <w:rFonts w:ascii="宋体" w:eastAsia="宋体" w:hAnsi="宋体" w:cs="宋体"/>
                <w:sz w:val="24"/>
              </w:rPr>
            </w:pPr>
          </w:p>
        </w:tc>
        <w:tc>
          <w:tcPr>
            <w:tcW w:w="512" w:type="pct"/>
            <w:vMerge/>
            <w:tcBorders>
              <w:left w:val="nil"/>
              <w:right w:val="single" w:sz="4" w:space="0" w:color="000000"/>
            </w:tcBorders>
            <w:tcMar>
              <w:top w:w="0" w:type="dxa"/>
              <w:left w:w="0" w:type="dxa"/>
              <w:bottom w:w="0" w:type="dxa"/>
              <w:right w:w="0" w:type="dxa"/>
            </w:tcMar>
            <w:vAlign w:val="center"/>
          </w:tcPr>
          <w:p w14:paraId="52C1DCB9" w14:textId="77777777" w:rsidR="00BC256F" w:rsidRDefault="00BC256F">
            <w:pPr>
              <w:pStyle w:val="null3"/>
              <w:jc w:val="center"/>
              <w:rPr>
                <w:rFonts w:ascii="宋体" w:eastAsia="宋体" w:hAnsi="宋体" w:cs="宋体"/>
                <w:sz w:val="24"/>
              </w:rPr>
            </w:pPr>
          </w:p>
        </w:tc>
        <w:tc>
          <w:tcPr>
            <w:tcW w:w="509" w:type="pct"/>
            <w:vMerge/>
            <w:tcBorders>
              <w:left w:val="nil"/>
              <w:right w:val="single" w:sz="4" w:space="0" w:color="000000"/>
            </w:tcBorders>
            <w:tcMar>
              <w:top w:w="0" w:type="dxa"/>
              <w:left w:w="0" w:type="dxa"/>
              <w:bottom w:w="0" w:type="dxa"/>
              <w:right w:w="0" w:type="dxa"/>
            </w:tcMar>
            <w:vAlign w:val="center"/>
          </w:tcPr>
          <w:p w14:paraId="723D917A" w14:textId="77777777" w:rsidR="00BC256F" w:rsidRDefault="00BC256F">
            <w:pPr>
              <w:pStyle w:val="null3"/>
              <w:jc w:val="center"/>
              <w:rPr>
                <w:rFonts w:ascii="宋体" w:eastAsia="宋体" w:hAnsi="宋体" w:cs="宋体"/>
                <w:sz w:val="24"/>
                <w:highlight w:val="yellow"/>
              </w:rPr>
            </w:pP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3F02E138" w14:textId="77777777" w:rsidR="00BC256F" w:rsidRDefault="00000000">
            <w:pPr>
              <w:pStyle w:val="null3"/>
              <w:jc w:val="center"/>
              <w:rPr>
                <w:rFonts w:ascii="宋体" w:eastAsia="宋体" w:hAnsi="宋体" w:cs="宋体"/>
                <w:sz w:val="24"/>
              </w:rPr>
            </w:pPr>
            <w:r>
              <w:rPr>
                <w:rFonts w:ascii="宋体" w:eastAsia="宋体" w:hAnsi="宋体" w:cs="宋体"/>
                <w:sz w:val="24"/>
              </w:rPr>
              <w:t>显示信号整理</w:t>
            </w:r>
          </w:p>
        </w:tc>
      </w:tr>
      <w:tr w:rsidR="00BC256F" w14:paraId="0231A0B2" w14:textId="77777777">
        <w:tc>
          <w:tcPr>
            <w:tcW w:w="369" w:type="pct"/>
            <w:vMerge/>
            <w:tcBorders>
              <w:left w:val="single" w:sz="4" w:space="0" w:color="000000"/>
              <w:right w:val="single" w:sz="4" w:space="0" w:color="000000"/>
            </w:tcBorders>
            <w:tcMar>
              <w:top w:w="0" w:type="dxa"/>
              <w:left w:w="0" w:type="dxa"/>
              <w:bottom w:w="0" w:type="dxa"/>
              <w:right w:w="0" w:type="dxa"/>
            </w:tcMar>
            <w:vAlign w:val="center"/>
          </w:tcPr>
          <w:p w14:paraId="3445ED25" w14:textId="77777777" w:rsidR="00BC256F" w:rsidRDefault="00BC256F">
            <w:pPr>
              <w:pStyle w:val="null3"/>
              <w:jc w:val="center"/>
              <w:rPr>
                <w:rFonts w:ascii="宋体" w:eastAsia="宋体" w:hAnsi="宋体" w:cs="宋体"/>
                <w:sz w:val="24"/>
              </w:rPr>
            </w:pPr>
          </w:p>
        </w:tc>
        <w:tc>
          <w:tcPr>
            <w:tcW w:w="1937" w:type="pct"/>
            <w:vMerge/>
            <w:tcBorders>
              <w:left w:val="nil"/>
              <w:right w:val="single" w:sz="4" w:space="0" w:color="000000"/>
            </w:tcBorders>
            <w:tcMar>
              <w:top w:w="0" w:type="dxa"/>
              <w:left w:w="0" w:type="dxa"/>
              <w:bottom w:w="0" w:type="dxa"/>
              <w:right w:w="0" w:type="dxa"/>
            </w:tcMar>
            <w:vAlign w:val="center"/>
          </w:tcPr>
          <w:p w14:paraId="79A778E2" w14:textId="77777777" w:rsidR="00BC256F" w:rsidRDefault="00BC256F">
            <w:pPr>
              <w:pStyle w:val="null3"/>
              <w:jc w:val="center"/>
              <w:rPr>
                <w:rFonts w:ascii="宋体" w:eastAsia="宋体" w:hAnsi="宋体" w:cs="宋体"/>
                <w:sz w:val="24"/>
              </w:rPr>
            </w:pPr>
          </w:p>
        </w:tc>
        <w:tc>
          <w:tcPr>
            <w:tcW w:w="512" w:type="pct"/>
            <w:vMerge/>
            <w:tcBorders>
              <w:left w:val="nil"/>
              <w:right w:val="single" w:sz="4" w:space="0" w:color="000000"/>
            </w:tcBorders>
            <w:tcMar>
              <w:top w:w="0" w:type="dxa"/>
              <w:left w:w="0" w:type="dxa"/>
              <w:bottom w:w="0" w:type="dxa"/>
              <w:right w:w="0" w:type="dxa"/>
            </w:tcMar>
            <w:vAlign w:val="center"/>
          </w:tcPr>
          <w:p w14:paraId="28D56B24" w14:textId="77777777" w:rsidR="00BC256F" w:rsidRDefault="00BC256F">
            <w:pPr>
              <w:pStyle w:val="null3"/>
              <w:jc w:val="center"/>
              <w:rPr>
                <w:rFonts w:ascii="宋体" w:eastAsia="宋体" w:hAnsi="宋体" w:cs="宋体"/>
                <w:sz w:val="24"/>
              </w:rPr>
            </w:pPr>
          </w:p>
        </w:tc>
        <w:tc>
          <w:tcPr>
            <w:tcW w:w="509" w:type="pct"/>
            <w:vMerge/>
            <w:tcBorders>
              <w:left w:val="nil"/>
              <w:right w:val="single" w:sz="4" w:space="0" w:color="000000"/>
            </w:tcBorders>
            <w:tcMar>
              <w:top w:w="0" w:type="dxa"/>
              <w:left w:w="0" w:type="dxa"/>
              <w:bottom w:w="0" w:type="dxa"/>
              <w:right w:w="0" w:type="dxa"/>
            </w:tcMar>
            <w:vAlign w:val="center"/>
          </w:tcPr>
          <w:p w14:paraId="1E7C136E" w14:textId="77777777" w:rsidR="00BC256F" w:rsidRDefault="00BC256F">
            <w:pPr>
              <w:pStyle w:val="null3"/>
              <w:jc w:val="center"/>
              <w:rPr>
                <w:rFonts w:ascii="宋体" w:eastAsia="宋体" w:hAnsi="宋体" w:cs="宋体"/>
                <w:sz w:val="24"/>
                <w:highlight w:val="yellow"/>
              </w:rPr>
            </w:pP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19022427" w14:textId="77777777" w:rsidR="00BC256F" w:rsidRDefault="00000000">
            <w:pPr>
              <w:pStyle w:val="null3"/>
              <w:jc w:val="center"/>
              <w:rPr>
                <w:rFonts w:ascii="宋体" w:eastAsia="宋体" w:hAnsi="宋体" w:cs="宋体"/>
                <w:sz w:val="24"/>
              </w:rPr>
            </w:pPr>
            <w:r>
              <w:rPr>
                <w:rFonts w:ascii="宋体" w:eastAsia="宋体" w:hAnsi="宋体" w:cs="宋体"/>
                <w:sz w:val="24"/>
              </w:rPr>
              <w:t>音频信号整理</w:t>
            </w:r>
          </w:p>
        </w:tc>
      </w:tr>
      <w:tr w:rsidR="00BC256F" w14:paraId="3D9D5A04" w14:textId="77777777">
        <w:tc>
          <w:tcPr>
            <w:tcW w:w="369" w:type="pct"/>
            <w:vMerge/>
            <w:tcBorders>
              <w:left w:val="single" w:sz="4" w:space="0" w:color="000000"/>
              <w:right w:val="single" w:sz="4" w:space="0" w:color="000000"/>
            </w:tcBorders>
            <w:tcMar>
              <w:top w:w="0" w:type="dxa"/>
              <w:left w:w="0" w:type="dxa"/>
              <w:bottom w:w="0" w:type="dxa"/>
              <w:right w:w="0" w:type="dxa"/>
            </w:tcMar>
            <w:vAlign w:val="center"/>
          </w:tcPr>
          <w:p w14:paraId="208C3C1E" w14:textId="77777777" w:rsidR="00BC256F" w:rsidRDefault="00BC256F">
            <w:pPr>
              <w:pStyle w:val="null3"/>
              <w:jc w:val="center"/>
              <w:rPr>
                <w:rFonts w:ascii="宋体" w:eastAsia="宋体" w:hAnsi="宋体" w:cs="宋体"/>
                <w:sz w:val="24"/>
              </w:rPr>
            </w:pPr>
          </w:p>
        </w:tc>
        <w:tc>
          <w:tcPr>
            <w:tcW w:w="1937" w:type="pct"/>
            <w:vMerge/>
            <w:tcBorders>
              <w:left w:val="nil"/>
              <w:right w:val="single" w:sz="4" w:space="0" w:color="000000"/>
            </w:tcBorders>
            <w:tcMar>
              <w:top w:w="0" w:type="dxa"/>
              <w:left w:w="0" w:type="dxa"/>
              <w:bottom w:w="0" w:type="dxa"/>
              <w:right w:w="0" w:type="dxa"/>
            </w:tcMar>
            <w:vAlign w:val="center"/>
          </w:tcPr>
          <w:p w14:paraId="3EEAFD8D" w14:textId="77777777" w:rsidR="00BC256F" w:rsidRDefault="00BC256F">
            <w:pPr>
              <w:pStyle w:val="null3"/>
              <w:jc w:val="center"/>
              <w:rPr>
                <w:rFonts w:ascii="宋体" w:eastAsia="宋体" w:hAnsi="宋体" w:cs="宋体"/>
                <w:sz w:val="24"/>
              </w:rPr>
            </w:pPr>
          </w:p>
        </w:tc>
        <w:tc>
          <w:tcPr>
            <w:tcW w:w="512" w:type="pct"/>
            <w:vMerge/>
            <w:tcBorders>
              <w:left w:val="nil"/>
              <w:right w:val="single" w:sz="4" w:space="0" w:color="000000"/>
            </w:tcBorders>
            <w:tcMar>
              <w:top w:w="0" w:type="dxa"/>
              <w:left w:w="0" w:type="dxa"/>
              <w:bottom w:w="0" w:type="dxa"/>
              <w:right w:w="0" w:type="dxa"/>
            </w:tcMar>
            <w:vAlign w:val="center"/>
          </w:tcPr>
          <w:p w14:paraId="580DDBF8" w14:textId="77777777" w:rsidR="00BC256F" w:rsidRDefault="00BC256F">
            <w:pPr>
              <w:pStyle w:val="null3"/>
              <w:jc w:val="center"/>
              <w:rPr>
                <w:rFonts w:ascii="宋体" w:eastAsia="宋体" w:hAnsi="宋体" w:cs="宋体"/>
                <w:sz w:val="24"/>
              </w:rPr>
            </w:pPr>
          </w:p>
        </w:tc>
        <w:tc>
          <w:tcPr>
            <w:tcW w:w="509" w:type="pct"/>
            <w:vMerge/>
            <w:tcBorders>
              <w:left w:val="nil"/>
              <w:right w:val="single" w:sz="4" w:space="0" w:color="000000"/>
            </w:tcBorders>
            <w:tcMar>
              <w:top w:w="0" w:type="dxa"/>
              <w:left w:w="0" w:type="dxa"/>
              <w:bottom w:w="0" w:type="dxa"/>
              <w:right w:w="0" w:type="dxa"/>
            </w:tcMar>
            <w:vAlign w:val="center"/>
          </w:tcPr>
          <w:p w14:paraId="26BC9974" w14:textId="77777777" w:rsidR="00BC256F" w:rsidRDefault="00BC256F">
            <w:pPr>
              <w:pStyle w:val="null3"/>
              <w:jc w:val="center"/>
              <w:rPr>
                <w:rFonts w:ascii="宋体" w:eastAsia="宋体" w:hAnsi="宋体" w:cs="宋体"/>
                <w:sz w:val="24"/>
                <w:highlight w:val="yellow"/>
              </w:rPr>
            </w:pP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2C57C13F" w14:textId="77777777" w:rsidR="00BC256F" w:rsidRDefault="00000000">
            <w:pPr>
              <w:pStyle w:val="null3"/>
              <w:jc w:val="center"/>
              <w:rPr>
                <w:rFonts w:ascii="宋体" w:eastAsia="宋体" w:hAnsi="宋体" w:cs="宋体"/>
                <w:sz w:val="24"/>
              </w:rPr>
            </w:pPr>
            <w:r>
              <w:rPr>
                <w:rFonts w:ascii="宋体" w:eastAsia="宋体" w:hAnsi="宋体" w:cs="宋体"/>
                <w:sz w:val="24"/>
              </w:rPr>
              <w:t>系统授权</w:t>
            </w:r>
          </w:p>
        </w:tc>
      </w:tr>
      <w:tr w:rsidR="00BC256F" w14:paraId="52EC7EFA" w14:textId="77777777">
        <w:trPr>
          <w:trHeight w:val="300"/>
        </w:trPr>
        <w:tc>
          <w:tcPr>
            <w:tcW w:w="369" w:type="pct"/>
            <w:vMerge/>
            <w:tcBorders>
              <w:left w:val="single" w:sz="4" w:space="0" w:color="000000"/>
              <w:bottom w:val="single" w:sz="4" w:space="0" w:color="000000"/>
              <w:right w:val="single" w:sz="4" w:space="0" w:color="000000"/>
            </w:tcBorders>
            <w:tcMar>
              <w:top w:w="0" w:type="dxa"/>
              <w:left w:w="0" w:type="dxa"/>
              <w:bottom w:w="0" w:type="dxa"/>
              <w:right w:w="0" w:type="dxa"/>
            </w:tcMar>
            <w:vAlign w:val="center"/>
          </w:tcPr>
          <w:p w14:paraId="0A449CF3" w14:textId="77777777" w:rsidR="00BC256F" w:rsidRDefault="00BC256F">
            <w:pPr>
              <w:pStyle w:val="null3"/>
              <w:jc w:val="center"/>
              <w:rPr>
                <w:rFonts w:ascii="宋体" w:eastAsia="宋体" w:hAnsi="宋体" w:cs="宋体"/>
                <w:sz w:val="24"/>
              </w:rPr>
            </w:pPr>
          </w:p>
        </w:tc>
        <w:tc>
          <w:tcPr>
            <w:tcW w:w="1937" w:type="pct"/>
            <w:vMerge/>
            <w:tcBorders>
              <w:left w:val="nil"/>
              <w:bottom w:val="single" w:sz="4" w:space="0" w:color="000000"/>
              <w:right w:val="single" w:sz="4" w:space="0" w:color="000000"/>
            </w:tcBorders>
            <w:tcMar>
              <w:top w:w="0" w:type="dxa"/>
              <w:left w:w="0" w:type="dxa"/>
              <w:bottom w:w="0" w:type="dxa"/>
              <w:right w:w="0" w:type="dxa"/>
            </w:tcMar>
            <w:vAlign w:val="center"/>
          </w:tcPr>
          <w:p w14:paraId="0545BD18" w14:textId="77777777" w:rsidR="00BC256F" w:rsidRDefault="00BC256F">
            <w:pPr>
              <w:pStyle w:val="null3"/>
              <w:jc w:val="center"/>
              <w:rPr>
                <w:rFonts w:ascii="宋体" w:eastAsia="宋体" w:hAnsi="宋体" w:cs="宋体"/>
                <w:sz w:val="24"/>
              </w:rPr>
            </w:pPr>
          </w:p>
        </w:tc>
        <w:tc>
          <w:tcPr>
            <w:tcW w:w="512" w:type="pct"/>
            <w:vMerge/>
            <w:tcBorders>
              <w:left w:val="nil"/>
              <w:bottom w:val="single" w:sz="4" w:space="0" w:color="000000"/>
              <w:right w:val="single" w:sz="4" w:space="0" w:color="000000"/>
            </w:tcBorders>
            <w:tcMar>
              <w:top w:w="0" w:type="dxa"/>
              <w:left w:w="0" w:type="dxa"/>
              <w:bottom w:w="0" w:type="dxa"/>
              <w:right w:w="0" w:type="dxa"/>
            </w:tcMar>
            <w:vAlign w:val="center"/>
          </w:tcPr>
          <w:p w14:paraId="5F73F8A4" w14:textId="77777777" w:rsidR="00BC256F" w:rsidRDefault="00BC256F">
            <w:pPr>
              <w:pStyle w:val="null3"/>
              <w:jc w:val="center"/>
              <w:rPr>
                <w:rFonts w:ascii="宋体" w:eastAsia="宋体" w:hAnsi="宋体" w:cs="宋体"/>
                <w:sz w:val="24"/>
              </w:rPr>
            </w:pPr>
          </w:p>
        </w:tc>
        <w:tc>
          <w:tcPr>
            <w:tcW w:w="509" w:type="pct"/>
            <w:vMerge/>
            <w:tcBorders>
              <w:left w:val="nil"/>
              <w:bottom w:val="single" w:sz="4" w:space="0" w:color="000000"/>
              <w:right w:val="single" w:sz="4" w:space="0" w:color="000000"/>
            </w:tcBorders>
            <w:tcMar>
              <w:top w:w="0" w:type="dxa"/>
              <w:left w:w="0" w:type="dxa"/>
              <w:bottom w:w="0" w:type="dxa"/>
              <w:right w:w="0" w:type="dxa"/>
            </w:tcMar>
            <w:vAlign w:val="center"/>
          </w:tcPr>
          <w:p w14:paraId="7F168AE2" w14:textId="77777777" w:rsidR="00BC256F" w:rsidRDefault="00BC256F">
            <w:pPr>
              <w:pStyle w:val="null3"/>
              <w:jc w:val="center"/>
              <w:rPr>
                <w:rFonts w:ascii="宋体" w:eastAsia="宋体" w:hAnsi="宋体" w:cs="宋体"/>
                <w:sz w:val="24"/>
                <w:highlight w:val="yellow"/>
              </w:rPr>
            </w:pP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1EDB021B" w14:textId="77777777" w:rsidR="00BC256F" w:rsidRDefault="00000000">
            <w:pPr>
              <w:pStyle w:val="null3"/>
              <w:jc w:val="center"/>
              <w:rPr>
                <w:rFonts w:ascii="宋体" w:eastAsia="宋体" w:hAnsi="宋体" w:cs="宋体"/>
                <w:sz w:val="24"/>
              </w:rPr>
            </w:pPr>
            <w:r>
              <w:rPr>
                <w:rFonts w:ascii="宋体" w:eastAsia="宋体" w:hAnsi="宋体" w:cs="宋体"/>
                <w:sz w:val="24"/>
              </w:rPr>
              <w:t xml:space="preserve">控制系统程序重编 </w:t>
            </w:r>
          </w:p>
        </w:tc>
      </w:tr>
      <w:tr w:rsidR="00BC256F" w14:paraId="6B533FCE" w14:textId="77777777">
        <w:tc>
          <w:tcPr>
            <w:tcW w:w="369" w:type="pct"/>
            <w:tcBorders>
              <w:top w:val="nil"/>
              <w:left w:val="single" w:sz="4" w:space="0" w:color="000000"/>
              <w:bottom w:val="single" w:sz="4" w:space="0" w:color="000000"/>
              <w:right w:val="single" w:sz="4" w:space="0" w:color="000000"/>
            </w:tcBorders>
            <w:tcMar>
              <w:top w:w="0" w:type="dxa"/>
              <w:left w:w="0" w:type="dxa"/>
              <w:bottom w:w="0" w:type="dxa"/>
              <w:right w:w="0" w:type="dxa"/>
            </w:tcMar>
            <w:vAlign w:val="center"/>
          </w:tcPr>
          <w:p w14:paraId="4D8F3349" w14:textId="77777777" w:rsidR="00BC256F" w:rsidRDefault="00000000">
            <w:pPr>
              <w:pStyle w:val="null3"/>
              <w:jc w:val="center"/>
              <w:rPr>
                <w:rFonts w:ascii="宋体" w:eastAsia="宋体" w:hAnsi="宋体" w:cs="宋体"/>
                <w:sz w:val="24"/>
              </w:rPr>
            </w:pPr>
            <w:r>
              <w:rPr>
                <w:rFonts w:ascii="宋体" w:eastAsia="宋体" w:hAnsi="宋体" w:cs="宋体"/>
                <w:sz w:val="24"/>
              </w:rPr>
              <w:t>（</w:t>
            </w:r>
            <w:r>
              <w:rPr>
                <w:rFonts w:ascii="宋体" w:eastAsia="宋体" w:hAnsi="宋体" w:cs="宋体"/>
                <w:sz w:val="24"/>
                <w:lang w:eastAsia="zh-CN"/>
              </w:rPr>
              <w:t>8</w:t>
            </w:r>
            <w:r>
              <w:rPr>
                <w:rFonts w:ascii="宋体" w:eastAsia="宋体" w:hAnsi="宋体" w:cs="宋体"/>
                <w:sz w:val="24"/>
              </w:rPr>
              <w:t>）</w:t>
            </w:r>
          </w:p>
        </w:tc>
        <w:tc>
          <w:tcPr>
            <w:tcW w:w="1937" w:type="pct"/>
            <w:tcBorders>
              <w:top w:val="nil"/>
              <w:left w:val="nil"/>
              <w:bottom w:val="single" w:sz="4" w:space="0" w:color="000000"/>
              <w:right w:val="single" w:sz="4" w:space="0" w:color="000000"/>
            </w:tcBorders>
            <w:tcMar>
              <w:top w:w="0" w:type="dxa"/>
              <w:left w:w="0" w:type="dxa"/>
              <w:bottom w:w="0" w:type="dxa"/>
              <w:right w:w="0" w:type="dxa"/>
            </w:tcMar>
            <w:vAlign w:val="center"/>
          </w:tcPr>
          <w:p w14:paraId="09AF540F" w14:textId="77777777" w:rsidR="00BC256F" w:rsidRDefault="00000000">
            <w:pPr>
              <w:pStyle w:val="null3"/>
              <w:jc w:val="center"/>
              <w:rPr>
                <w:rFonts w:ascii="宋体" w:eastAsia="宋体" w:hAnsi="宋体" w:cs="宋体"/>
                <w:sz w:val="24"/>
              </w:rPr>
            </w:pPr>
            <w:r>
              <w:rPr>
                <w:rFonts w:ascii="宋体" w:eastAsia="宋体" w:hAnsi="宋体" w:cs="宋体"/>
                <w:sz w:val="24"/>
              </w:rPr>
              <w:t>EB500（南靖</w:t>
            </w:r>
            <w:r>
              <w:rPr>
                <w:rFonts w:ascii="宋体" w:eastAsia="宋体" w:hAnsi="宋体" w:cs="宋体" w:hint="default"/>
                <w:sz w:val="24"/>
              </w:rPr>
              <w:t>）</w:t>
            </w:r>
          </w:p>
        </w:tc>
        <w:tc>
          <w:tcPr>
            <w:tcW w:w="512" w:type="pct"/>
            <w:tcBorders>
              <w:top w:val="nil"/>
              <w:left w:val="nil"/>
              <w:bottom w:val="single" w:sz="4" w:space="0" w:color="000000"/>
              <w:right w:val="single" w:sz="4" w:space="0" w:color="000000"/>
            </w:tcBorders>
            <w:tcMar>
              <w:top w:w="0" w:type="dxa"/>
              <w:left w:w="0" w:type="dxa"/>
              <w:bottom w:w="0" w:type="dxa"/>
              <w:right w:w="0" w:type="dxa"/>
            </w:tcMar>
            <w:vAlign w:val="center"/>
          </w:tcPr>
          <w:p w14:paraId="26388371" w14:textId="77777777" w:rsidR="00BC256F" w:rsidRDefault="00000000">
            <w:pPr>
              <w:pStyle w:val="null3"/>
              <w:jc w:val="center"/>
              <w:rPr>
                <w:rFonts w:ascii="宋体" w:eastAsia="宋体" w:hAnsi="宋体" w:cs="宋体"/>
                <w:sz w:val="24"/>
              </w:rPr>
            </w:pPr>
            <w:r>
              <w:rPr>
                <w:rFonts w:ascii="宋体" w:eastAsia="宋体" w:hAnsi="宋体" w:cs="宋体"/>
                <w:sz w:val="24"/>
              </w:rPr>
              <w:t>1台</w:t>
            </w:r>
          </w:p>
        </w:tc>
        <w:tc>
          <w:tcPr>
            <w:tcW w:w="509" w:type="pct"/>
            <w:tcBorders>
              <w:top w:val="nil"/>
              <w:left w:val="nil"/>
              <w:bottom w:val="single" w:sz="4" w:space="0" w:color="000000"/>
              <w:right w:val="single" w:sz="4" w:space="0" w:color="000000"/>
            </w:tcBorders>
            <w:tcMar>
              <w:top w:w="0" w:type="dxa"/>
              <w:left w:w="0" w:type="dxa"/>
              <w:bottom w:w="0" w:type="dxa"/>
              <w:right w:w="0" w:type="dxa"/>
            </w:tcMar>
            <w:vAlign w:val="center"/>
          </w:tcPr>
          <w:p w14:paraId="61173E2C" w14:textId="77777777" w:rsidR="00BC256F" w:rsidRDefault="00000000">
            <w:pPr>
              <w:pStyle w:val="null3"/>
              <w:jc w:val="center"/>
              <w:rPr>
                <w:rFonts w:ascii="宋体" w:eastAsia="宋体" w:hAnsi="宋体" w:cs="宋体"/>
                <w:sz w:val="24"/>
                <w:highlight w:val="yellow"/>
              </w:rPr>
            </w:pPr>
            <w:r>
              <w:rPr>
                <w:rFonts w:ascii="宋体" w:eastAsia="宋体" w:hAnsi="宋体" w:cs="宋体"/>
                <w:sz w:val="24"/>
                <w:highlight w:val="yellow"/>
              </w:rPr>
              <w:t>R&amp;S</w:t>
            </w:r>
          </w:p>
        </w:tc>
        <w:tc>
          <w:tcPr>
            <w:tcW w:w="1670" w:type="pct"/>
            <w:tcBorders>
              <w:top w:val="nil"/>
              <w:left w:val="nil"/>
              <w:bottom w:val="single" w:sz="4" w:space="0" w:color="000000"/>
              <w:right w:val="single" w:sz="4" w:space="0" w:color="000000"/>
            </w:tcBorders>
            <w:tcMar>
              <w:top w:w="0" w:type="dxa"/>
              <w:left w:w="0" w:type="dxa"/>
              <w:bottom w:w="0" w:type="dxa"/>
              <w:right w:w="0" w:type="dxa"/>
            </w:tcMar>
            <w:vAlign w:val="center"/>
          </w:tcPr>
          <w:p w14:paraId="53B8F9B2" w14:textId="77777777" w:rsidR="00BC256F" w:rsidRDefault="00000000">
            <w:pPr>
              <w:pStyle w:val="null3"/>
              <w:jc w:val="center"/>
              <w:rPr>
                <w:rFonts w:ascii="宋体" w:eastAsia="宋体" w:hAnsi="宋体" w:cs="宋体"/>
                <w:sz w:val="24"/>
              </w:rPr>
            </w:pPr>
            <w:r>
              <w:rPr>
                <w:rFonts w:ascii="宋体" w:eastAsia="宋体" w:hAnsi="宋体" w:cs="宋体"/>
                <w:sz w:val="24"/>
              </w:rPr>
              <w:t>搬迁至漳浦东吴村边海站、完成调试及配套设施布置</w:t>
            </w:r>
          </w:p>
        </w:tc>
      </w:tr>
    </w:tbl>
    <w:p w14:paraId="73C3BFF0" w14:textId="77777777" w:rsidR="00BC256F" w:rsidRDefault="00000000">
      <w:pPr>
        <w:pStyle w:val="null3"/>
        <w:jc w:val="both"/>
        <w:rPr>
          <w:rFonts w:hint="default"/>
        </w:rPr>
      </w:pPr>
      <w:r>
        <w:rPr>
          <w:rFonts w:ascii="宋体" w:eastAsia="宋体" w:hAnsi="宋体" w:cs="宋体"/>
          <w:sz w:val="24"/>
        </w:rPr>
        <w:t>3、项目完成期及维修地点</w:t>
      </w:r>
    </w:p>
    <w:p w14:paraId="37A74F00" w14:textId="77777777" w:rsidR="00BC256F" w:rsidRDefault="00000000">
      <w:pPr>
        <w:pStyle w:val="null3"/>
        <w:jc w:val="both"/>
        <w:rPr>
          <w:rFonts w:hint="default"/>
        </w:rPr>
      </w:pPr>
      <w:r>
        <w:rPr>
          <w:rFonts w:ascii="宋体" w:eastAsia="宋体" w:hAnsi="宋体" w:cs="宋体"/>
          <w:sz w:val="24"/>
        </w:rPr>
        <w:t>（1）交接地点：由采购人指定，成交供应商需按要求送至指定地点；</w:t>
      </w:r>
    </w:p>
    <w:p w14:paraId="288E93BC" w14:textId="77777777" w:rsidR="00BC256F" w:rsidRDefault="00000000">
      <w:pPr>
        <w:pStyle w:val="null3"/>
        <w:jc w:val="both"/>
        <w:rPr>
          <w:rFonts w:hint="default"/>
        </w:rPr>
      </w:pPr>
      <w:r>
        <w:rPr>
          <w:rFonts w:ascii="宋体" w:eastAsia="宋体" w:hAnsi="宋体" w:cs="宋体"/>
          <w:sz w:val="24"/>
        </w:rPr>
        <w:t>（2）交接方式：现场交接；</w:t>
      </w:r>
    </w:p>
    <w:p w14:paraId="00C659E2" w14:textId="77777777" w:rsidR="00BC256F" w:rsidRDefault="00000000">
      <w:pPr>
        <w:pStyle w:val="null3"/>
        <w:jc w:val="both"/>
        <w:rPr>
          <w:rFonts w:hint="default"/>
        </w:rPr>
      </w:pPr>
      <w:r>
        <w:rPr>
          <w:rFonts w:ascii="宋体" w:eastAsia="宋体" w:hAnsi="宋体" w:cs="宋体"/>
          <w:sz w:val="24"/>
        </w:rPr>
        <w:t>（3）项目完成期：成交供应商应在合同签订后60日内将设备维修调试检测完毕提交给采购人，采购人收到设备后将对设备品牌型号及数量进行点验确认，确认无误后供应商应完成设备现场安装自检，安装自检完成后设备转入试运行，试运行结束后供应商应向采购人申请验收。</w:t>
      </w:r>
    </w:p>
    <w:p w14:paraId="579FC674" w14:textId="77777777" w:rsidR="00BC256F" w:rsidRDefault="00000000">
      <w:pPr>
        <w:pStyle w:val="null3"/>
        <w:jc w:val="both"/>
        <w:rPr>
          <w:rFonts w:hint="default"/>
        </w:rPr>
      </w:pPr>
      <w:r>
        <w:rPr>
          <w:rFonts w:ascii="宋体" w:eastAsia="宋体" w:hAnsi="宋体" w:cs="宋体"/>
          <w:sz w:val="24"/>
        </w:rPr>
        <w:t>（</w:t>
      </w:r>
      <w:r>
        <w:rPr>
          <w:rFonts w:ascii="宋体" w:eastAsia="宋体" w:hAnsi="宋体" w:cs="宋体"/>
          <w:sz w:val="24"/>
          <w:lang w:eastAsia="zh-CN"/>
        </w:rPr>
        <w:t>4</w:t>
      </w:r>
      <w:r>
        <w:rPr>
          <w:rFonts w:ascii="宋体" w:eastAsia="宋体" w:hAnsi="宋体" w:cs="宋体"/>
          <w:sz w:val="24"/>
        </w:rPr>
        <w:t>）运输方式：相关货物包装必须满足实际运输要求，包装方式的确定及包装运输费用均由成交供应商承担；由于不适当的包装而造成货物在运输过程中有任何损坏均由成交供应商负责。</w:t>
      </w:r>
    </w:p>
    <w:p w14:paraId="278D3CA3" w14:textId="77777777" w:rsidR="00BC256F" w:rsidRDefault="00000000">
      <w:pPr>
        <w:pStyle w:val="null3"/>
        <w:jc w:val="both"/>
        <w:rPr>
          <w:rFonts w:hint="default"/>
        </w:rPr>
      </w:pPr>
      <w:r>
        <w:rPr>
          <w:rFonts w:ascii="宋体" w:eastAsia="宋体" w:hAnsi="宋体" w:cs="宋体"/>
          <w:sz w:val="24"/>
        </w:rPr>
        <w:t>注：包装应足以承受整个过程中的运输、转运、装卸、储存等，充分考虑到运输途中的各种情况(如暴露于恶劣气候等)和项目所在地的气候特点，以及露天存放的需要。</w:t>
      </w:r>
    </w:p>
    <w:p w14:paraId="705C13A7" w14:textId="77777777" w:rsidR="00BC256F" w:rsidRDefault="00000000">
      <w:pPr>
        <w:pStyle w:val="null3"/>
        <w:jc w:val="both"/>
        <w:rPr>
          <w:rFonts w:hint="default"/>
        </w:rPr>
      </w:pPr>
      <w:r>
        <w:rPr>
          <w:rFonts w:ascii="宋体" w:eastAsia="宋体" w:hAnsi="宋体" w:cs="宋体"/>
          <w:sz w:val="24"/>
        </w:rPr>
        <w:t>4、验收条件</w:t>
      </w:r>
    </w:p>
    <w:p w14:paraId="176AD0BA" w14:textId="77777777" w:rsidR="00BC256F" w:rsidRDefault="00000000">
      <w:pPr>
        <w:pStyle w:val="null3"/>
        <w:jc w:val="both"/>
        <w:rPr>
          <w:rFonts w:hint="default"/>
        </w:rPr>
      </w:pPr>
      <w:r>
        <w:rPr>
          <w:rFonts w:ascii="宋体" w:eastAsia="宋体" w:hAnsi="宋体" w:cs="宋体"/>
          <w:sz w:val="24"/>
        </w:rPr>
        <w:t>（1）验收依据：采购文件、成交供应商响应文件、厂家货物技术标准说明和对应故障设备维修后第三方检测报告，均为验收依据，成交供应商维修后的设备需同时满足上述所有标准的要求。</w:t>
      </w:r>
    </w:p>
    <w:p w14:paraId="77D62823" w14:textId="77777777" w:rsidR="00BC256F" w:rsidRDefault="00000000">
      <w:pPr>
        <w:pStyle w:val="null3"/>
        <w:jc w:val="both"/>
        <w:rPr>
          <w:rFonts w:hint="default"/>
        </w:rPr>
      </w:pPr>
      <w:r>
        <w:rPr>
          <w:rFonts w:ascii="宋体" w:eastAsia="宋体" w:hAnsi="宋体" w:cs="宋体"/>
          <w:sz w:val="24"/>
        </w:rPr>
        <w:t>（2）维修调试检测后设备点验：维修调试检测后的设备运抵采购人指定地点后由采购人和成交供应商双方对照详细维修内容及技术要求等标准对设备进行品牌型号、整体外观及数量点验确认。</w:t>
      </w:r>
    </w:p>
    <w:p w14:paraId="6DCECC3C" w14:textId="77777777" w:rsidR="00BC256F" w:rsidRDefault="00000000">
      <w:pPr>
        <w:pStyle w:val="null3"/>
        <w:jc w:val="both"/>
        <w:rPr>
          <w:rFonts w:hint="default"/>
        </w:rPr>
      </w:pPr>
      <w:r>
        <w:rPr>
          <w:rFonts w:ascii="宋体" w:eastAsia="宋体" w:hAnsi="宋体" w:cs="宋体"/>
          <w:sz w:val="24"/>
        </w:rPr>
        <w:t>（3）现场安装自检试运行后验收：点验确认后，成交供应商需对设备进行现场安装并对其整体性能和功能进行自检，自检结果需符合采购文件、响应文件及合同中的相关条款，自检合格后，设备转入为期7天的试运行。试运行结束后，成交供应商应向采购人提交自检记录、试运行记录和第三方检测报告，并提出验收申请。经采购人同意后，双方共同进行设备的维修验收。</w:t>
      </w:r>
    </w:p>
    <w:p w14:paraId="317E0E03" w14:textId="77777777" w:rsidR="00BC256F" w:rsidRDefault="00000000">
      <w:pPr>
        <w:pStyle w:val="null3"/>
        <w:jc w:val="both"/>
        <w:rPr>
          <w:rFonts w:hint="default"/>
        </w:rPr>
      </w:pPr>
      <w:r>
        <w:rPr>
          <w:rFonts w:ascii="宋体" w:eastAsia="宋体" w:hAnsi="宋体" w:cs="宋体"/>
          <w:sz w:val="24"/>
        </w:rPr>
        <w:t>5、售后服务要求</w:t>
      </w:r>
    </w:p>
    <w:p w14:paraId="4BEC5870" w14:textId="77777777" w:rsidR="00BC256F" w:rsidRDefault="00000000">
      <w:pPr>
        <w:pStyle w:val="null3"/>
        <w:jc w:val="both"/>
        <w:rPr>
          <w:rFonts w:hint="default"/>
        </w:rPr>
      </w:pPr>
      <w:r>
        <w:rPr>
          <w:rFonts w:ascii="宋体" w:eastAsia="宋体" w:hAnsi="宋体" w:cs="宋体"/>
          <w:sz w:val="24"/>
        </w:rPr>
        <w:t>（1）成交供应商应在合同签订后60日内将设备维修调试检测完毕提交给采购人，之后经过点验确认、现场安装自检及试运行后即可向采购人申请验收。供应商应提供至少3个月的维保期服务，自验收合格之日起计算。维保服务期内，须按合同条款提供服务。</w:t>
      </w:r>
    </w:p>
    <w:p w14:paraId="4509A83D" w14:textId="77777777" w:rsidR="00BC256F" w:rsidRDefault="00000000">
      <w:pPr>
        <w:pStyle w:val="null3"/>
        <w:jc w:val="both"/>
        <w:rPr>
          <w:rFonts w:hint="default"/>
        </w:rPr>
      </w:pPr>
      <w:r>
        <w:rPr>
          <w:rFonts w:ascii="宋体" w:eastAsia="宋体" w:hAnsi="宋体" w:cs="宋体"/>
          <w:sz w:val="24"/>
        </w:rPr>
        <w:t>（2）成交供应商在维保服务期内须提供上门维修服务，设备运行发生相同故障时成交供应商在接到采购人故障通知后需在6小时内响应，18小时内到达现场，</w:t>
      </w:r>
      <w:r>
        <w:rPr>
          <w:rFonts w:ascii="宋体" w:eastAsia="宋体" w:hAnsi="宋体" w:cs="宋体"/>
          <w:sz w:val="24"/>
        </w:rPr>
        <w:lastRenderedPageBreak/>
        <w:t>免费负责修理或更换再次出现故障的元件、零部件或模块（包括返厂维修），对造成的损失按合同规定赔偿及承担违约责任。</w:t>
      </w:r>
    </w:p>
    <w:p w14:paraId="1E88070D" w14:textId="77777777" w:rsidR="00BC256F" w:rsidRDefault="00000000">
      <w:pPr>
        <w:pStyle w:val="null3"/>
        <w:jc w:val="both"/>
        <w:rPr>
          <w:rFonts w:hint="default"/>
        </w:rPr>
      </w:pPr>
      <w:r>
        <w:rPr>
          <w:rFonts w:ascii="宋体" w:eastAsia="宋体" w:hAnsi="宋体" w:cs="宋体"/>
          <w:sz w:val="24"/>
        </w:rPr>
        <w:t>（3）维保服务期满前1个月内成交供应商应负责对设备进行一次全面检查，如发现故障部位出现潜在问题，应负责排除，保证设备正常运行。</w:t>
      </w:r>
    </w:p>
    <w:p w14:paraId="63833DDC" w14:textId="77777777" w:rsidR="00BC256F" w:rsidRDefault="00000000">
      <w:pPr>
        <w:pStyle w:val="null3"/>
        <w:jc w:val="both"/>
        <w:rPr>
          <w:rFonts w:hint="default"/>
        </w:rPr>
      </w:pPr>
      <w:r>
        <w:rPr>
          <w:rFonts w:ascii="宋体" w:eastAsia="宋体" w:hAnsi="宋体" w:cs="宋体"/>
          <w:sz w:val="24"/>
        </w:rPr>
        <w:t>（4）供应商可视自身能力在响应文件中提供更优、更合理的维保服务方案和维修售后服务承诺。</w:t>
      </w:r>
    </w:p>
    <w:p w14:paraId="0B9FF8CE" w14:textId="77777777" w:rsidR="00BC256F" w:rsidRDefault="00BC256F">
      <w:pPr>
        <w:rPr>
          <w:rFonts w:cs="Times New Roman"/>
        </w:rPr>
      </w:pPr>
    </w:p>
    <w:sectPr w:rsidR="00BC256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63A9E" w14:textId="77777777" w:rsidR="008E4F23" w:rsidRDefault="008E4F23">
      <w:r>
        <w:separator/>
      </w:r>
    </w:p>
  </w:endnote>
  <w:endnote w:type="continuationSeparator" w:id="0">
    <w:p w14:paraId="5A2B4346" w14:textId="77777777" w:rsidR="008E4F23" w:rsidRDefault="008E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162AE" w14:textId="77777777" w:rsidR="00BC256F" w:rsidRDefault="00BC256F">
    <w:pPr>
      <w:pStyle w:val="a0"/>
      <w:framePr w:wrap="auto" w:vAnchor="text" w:hAnchor="margin" w:xAlign="right" w:y="1"/>
      <w:rPr>
        <w:rStyle w:val="af0"/>
        <w:rFonts w:cs="Times New Roman"/>
      </w:rPr>
    </w:pPr>
  </w:p>
  <w:p w14:paraId="4AD937B1" w14:textId="4BE766A9" w:rsidR="00BC256F" w:rsidRDefault="00C55CDA">
    <w:pPr>
      <w:pStyle w:val="a5"/>
      <w:spacing w:line="14" w:lineRule="auto"/>
      <w:ind w:right="360"/>
      <w:rPr>
        <w:rFonts w:cs="Times New Roman" w:hint="eastAsia"/>
        <w:sz w:val="20"/>
        <w:szCs w:val="20"/>
      </w:rPr>
    </w:pPr>
    <w:r>
      <w:rPr>
        <w:rFonts w:hint="eastAsia"/>
        <w:noProof/>
        <w:lang w:eastAsia="zh-CN"/>
      </w:rPr>
      <mc:AlternateContent>
        <mc:Choice Requires="wps">
          <w:drawing>
            <wp:anchor distT="0" distB="0" distL="114300" distR="114300" simplePos="0" relativeHeight="251657728" behindDoc="1" locked="0" layoutInCell="1" allowOverlap="1" wp14:anchorId="40953FC5" wp14:editId="0ABB3B87">
              <wp:simplePos x="0" y="0"/>
              <wp:positionH relativeFrom="page">
                <wp:posOffset>3859530</wp:posOffset>
              </wp:positionH>
              <wp:positionV relativeFrom="page">
                <wp:posOffset>9793605</wp:posOffset>
              </wp:positionV>
              <wp:extent cx="167005" cy="139700"/>
              <wp:effectExtent l="1905" t="1905" r="2540" b="1270"/>
              <wp:wrapNone/>
              <wp:docPr id="16080256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43FD" w14:textId="77777777" w:rsidR="00BC256F" w:rsidRDefault="00BC256F">
                          <w:pPr>
                            <w:spacing w:line="203" w:lineRule="exact"/>
                            <w:ind w:left="40"/>
                            <w:rPr>
                              <w:rFonts w:cs="Times New Roman"/>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53FC5" id="_x0000_t202" coordsize="21600,21600" o:spt="202" path="m,l,21600r21600,l21600,xe">
              <v:stroke joinstyle="miter"/>
              <v:path gradientshapeok="t" o:connecttype="rect"/>
            </v:shapetype>
            <v:shape id="Text Box 1" o:spid="_x0000_s1026" type="#_x0000_t202" style="position:absolute;margin-left:303.9pt;margin-top:771.15pt;width:13.1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G1AEAAJADAAAOAAAAZHJzL2Uyb0RvYy54bWysU9tu1DAQfUfiHyy/s8kWUSDabFVaFSEV&#10;ilT4AMexNxaJx8x4N1m+nrGz2XJ5Q7xYY3t85pwz483VNPTiYJAc+FquV6UUxmtond/V8uuXuxdv&#10;pKCofKt68KaWR0Pyavv82WYMlbmADvrWoGAQT9UYatnFGKqiIN2ZQdEKgvF8aQEHFXmLu6JFNTL6&#10;0BcXZXlZjIBtQNCGiE9v50u5zfjWGh0frCUTRV9L5hbzinlt0lpsN6raoQqd0yca6h9YDMp5LnqG&#10;ulVRiT26v6AGpxEIbFxpGAqw1mmTNbCadfmHmsdOBZO1sDkUzjbR/4PVnw6P4TOKOL2DiRuYRVC4&#10;B/2NhIebTvmduUaEsTOq5cLrZFkxBqpOT5PVVFECacaP0HKT1T5CBposDskV1ikYnRtwPJtupih0&#10;Knn5uixfSaH5av3yLW9yBVUtjwNSfG9gECmoJXJPM7g63FNMZFS1pKRaHu5c3+e+9v63A05MJ5l8&#10;4jszj1MzcXYS0UB7ZBkI85jwWHPQAf6QYuQRqSV93ys0UvQfPFuR5mkJcAmaJVBe89NaRinm8CbO&#10;c7cP6HYdI89me7hmu6zLUp5YnHhy27PC04imufp1n7OePtL2JwAAAP//AwBQSwMEFAAGAAgAAAAh&#10;AFa7Dz3hAAAADQEAAA8AAABkcnMvZG93bnJldi54bWxMj8FOwzAQRO9I/IO1SNyo3SYECHGqCsEJ&#10;CTUNB45O7CZW43WI3Tb8PdsTHGdnNPO2WM9uYCczBetRwnIhgBlsvbbYSfis3+4egYWoUKvBo5Hw&#10;YwKsy+urQuXan7Eyp13sGJVgyJWEPsYx5zy0vXEqLPxokLy9n5yKJKeO60mdqdwNfCVExp2ySAu9&#10;Gs1Lb9rD7ugkbL6werXfH8222le2rp8EvmcHKW9v5s0zsGjm+BeGCz6hQ0lMjT+iDmyQkIkHQo9k&#10;3KerBBhFsiRdAmsupyxNgJcF//9F+QsAAP//AwBQSwECLQAUAAYACAAAACEAtoM4kv4AAADhAQAA&#10;EwAAAAAAAAAAAAAAAAAAAAAAW0NvbnRlbnRfVHlwZXNdLnhtbFBLAQItABQABgAIAAAAIQA4/SH/&#10;1gAAAJQBAAALAAAAAAAAAAAAAAAAAC8BAABfcmVscy8ucmVsc1BLAQItABQABgAIAAAAIQBXcPcG&#10;1AEAAJADAAAOAAAAAAAAAAAAAAAAAC4CAABkcnMvZTJvRG9jLnhtbFBLAQItABQABgAIAAAAIQBW&#10;uw894QAAAA0BAAAPAAAAAAAAAAAAAAAAAC4EAABkcnMvZG93bnJldi54bWxQSwUGAAAAAAQABADz&#10;AAAAPAUAAAAA&#10;" filled="f" stroked="f">
              <v:textbox inset="0,0,0,0">
                <w:txbxContent>
                  <w:p w14:paraId="2CAB43FD" w14:textId="77777777" w:rsidR="00BC256F" w:rsidRDefault="00BC256F">
                    <w:pPr>
                      <w:spacing w:line="203" w:lineRule="exact"/>
                      <w:ind w:left="40"/>
                      <w:rPr>
                        <w:rFonts w:cs="Times New Roman"/>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27C59" w14:textId="77777777" w:rsidR="008E4F23" w:rsidRDefault="008E4F23">
      <w:r>
        <w:separator/>
      </w:r>
    </w:p>
  </w:footnote>
  <w:footnote w:type="continuationSeparator" w:id="0">
    <w:p w14:paraId="15E97D1A" w14:textId="77777777" w:rsidR="008E4F23" w:rsidRDefault="008E4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C6"/>
    <w:rsid w:val="000341A0"/>
    <w:rsid w:val="00053997"/>
    <w:rsid w:val="00086684"/>
    <w:rsid w:val="000968C3"/>
    <w:rsid w:val="000A6591"/>
    <w:rsid w:val="000B523D"/>
    <w:rsid w:val="001055D0"/>
    <w:rsid w:val="001222AD"/>
    <w:rsid w:val="00161991"/>
    <w:rsid w:val="00205003"/>
    <w:rsid w:val="00250CE3"/>
    <w:rsid w:val="00283FAE"/>
    <w:rsid w:val="00295735"/>
    <w:rsid w:val="002A45FF"/>
    <w:rsid w:val="002A4E24"/>
    <w:rsid w:val="002B026A"/>
    <w:rsid w:val="002F6B6A"/>
    <w:rsid w:val="00311CB4"/>
    <w:rsid w:val="00317660"/>
    <w:rsid w:val="00371DDE"/>
    <w:rsid w:val="00386AB1"/>
    <w:rsid w:val="0039387F"/>
    <w:rsid w:val="003B5DC7"/>
    <w:rsid w:val="003C0D52"/>
    <w:rsid w:val="003C422A"/>
    <w:rsid w:val="003C4CEA"/>
    <w:rsid w:val="003E2D7A"/>
    <w:rsid w:val="003F330A"/>
    <w:rsid w:val="004E36A0"/>
    <w:rsid w:val="004F2732"/>
    <w:rsid w:val="004F28DC"/>
    <w:rsid w:val="004F353B"/>
    <w:rsid w:val="005056BE"/>
    <w:rsid w:val="00536605"/>
    <w:rsid w:val="0057207A"/>
    <w:rsid w:val="00575B9B"/>
    <w:rsid w:val="00583E75"/>
    <w:rsid w:val="0059629B"/>
    <w:rsid w:val="005A2E44"/>
    <w:rsid w:val="005A347D"/>
    <w:rsid w:val="0061236C"/>
    <w:rsid w:val="00624C15"/>
    <w:rsid w:val="0065033C"/>
    <w:rsid w:val="0065782E"/>
    <w:rsid w:val="00684981"/>
    <w:rsid w:val="006A1C48"/>
    <w:rsid w:val="006E14CE"/>
    <w:rsid w:val="00716D43"/>
    <w:rsid w:val="00723DFD"/>
    <w:rsid w:val="00745B97"/>
    <w:rsid w:val="00755365"/>
    <w:rsid w:val="007763AE"/>
    <w:rsid w:val="007A010C"/>
    <w:rsid w:val="007B28FF"/>
    <w:rsid w:val="007C05C5"/>
    <w:rsid w:val="007F40FB"/>
    <w:rsid w:val="00812BAA"/>
    <w:rsid w:val="008217FA"/>
    <w:rsid w:val="00840D0A"/>
    <w:rsid w:val="00865A7B"/>
    <w:rsid w:val="00873E36"/>
    <w:rsid w:val="008B539A"/>
    <w:rsid w:val="008D23F9"/>
    <w:rsid w:val="008E4F23"/>
    <w:rsid w:val="00923F78"/>
    <w:rsid w:val="009444C4"/>
    <w:rsid w:val="009527EB"/>
    <w:rsid w:val="00981744"/>
    <w:rsid w:val="009F72FD"/>
    <w:rsid w:val="00A13F11"/>
    <w:rsid w:val="00A14194"/>
    <w:rsid w:val="00A27A97"/>
    <w:rsid w:val="00A4729C"/>
    <w:rsid w:val="00A56D19"/>
    <w:rsid w:val="00A84019"/>
    <w:rsid w:val="00AB5212"/>
    <w:rsid w:val="00AB7C4A"/>
    <w:rsid w:val="00AC36F8"/>
    <w:rsid w:val="00AC54D6"/>
    <w:rsid w:val="00AC65C9"/>
    <w:rsid w:val="00AD0981"/>
    <w:rsid w:val="00AD674C"/>
    <w:rsid w:val="00AE1893"/>
    <w:rsid w:val="00AE4CAA"/>
    <w:rsid w:val="00AF3EE8"/>
    <w:rsid w:val="00B129DC"/>
    <w:rsid w:val="00B33F08"/>
    <w:rsid w:val="00B440E4"/>
    <w:rsid w:val="00B819DB"/>
    <w:rsid w:val="00B93F9D"/>
    <w:rsid w:val="00B9453E"/>
    <w:rsid w:val="00B94DAB"/>
    <w:rsid w:val="00BC256F"/>
    <w:rsid w:val="00BD1DF5"/>
    <w:rsid w:val="00BD3704"/>
    <w:rsid w:val="00C23850"/>
    <w:rsid w:val="00C30AA2"/>
    <w:rsid w:val="00C55CDA"/>
    <w:rsid w:val="00C6268F"/>
    <w:rsid w:val="00C7682E"/>
    <w:rsid w:val="00C82A17"/>
    <w:rsid w:val="00CA683D"/>
    <w:rsid w:val="00CB1888"/>
    <w:rsid w:val="00CB67E8"/>
    <w:rsid w:val="00CD031B"/>
    <w:rsid w:val="00CF035F"/>
    <w:rsid w:val="00CF107B"/>
    <w:rsid w:val="00D07FC6"/>
    <w:rsid w:val="00D30E56"/>
    <w:rsid w:val="00D512BD"/>
    <w:rsid w:val="00D769FE"/>
    <w:rsid w:val="00D95265"/>
    <w:rsid w:val="00DE05C3"/>
    <w:rsid w:val="00DF5AC6"/>
    <w:rsid w:val="00E465B9"/>
    <w:rsid w:val="00EA1BB9"/>
    <w:rsid w:val="00EA42C1"/>
    <w:rsid w:val="00ED55ED"/>
    <w:rsid w:val="00ED613D"/>
    <w:rsid w:val="00EE26AD"/>
    <w:rsid w:val="00EF395B"/>
    <w:rsid w:val="00F11702"/>
    <w:rsid w:val="00F14B29"/>
    <w:rsid w:val="00F33487"/>
    <w:rsid w:val="00F33503"/>
    <w:rsid w:val="00F429D0"/>
    <w:rsid w:val="00F57E87"/>
    <w:rsid w:val="00F83AF8"/>
    <w:rsid w:val="00F9607A"/>
    <w:rsid w:val="00FB2DF0"/>
    <w:rsid w:val="00FD085E"/>
    <w:rsid w:val="00FE0B2F"/>
    <w:rsid w:val="00FF0FAF"/>
    <w:rsid w:val="4A98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47089"/>
  <w15:docId w15:val="{2F5E7C45-59C2-46F8-8E61-2AFE9BA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cs="Calibri"/>
      <w:kern w:val="2"/>
      <w:sz w:val="21"/>
      <w:szCs w:val="21"/>
    </w:rPr>
  </w:style>
  <w:style w:type="paragraph" w:styleId="2">
    <w:name w:val="heading 2"/>
    <w:basedOn w:val="a"/>
    <w:next w:val="a"/>
    <w:link w:val="20"/>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7">
    <w:name w:val="heading 7"/>
    <w:basedOn w:val="a"/>
    <w:link w:val="70"/>
    <w:uiPriority w:val="99"/>
    <w:qFormat/>
    <w:pPr>
      <w:autoSpaceDE w:val="0"/>
      <w:autoSpaceDN w:val="0"/>
      <w:spacing w:before="36"/>
      <w:ind w:left="137"/>
      <w:jc w:val="left"/>
      <w:outlineLvl w:val="6"/>
    </w:pPr>
    <w:rPr>
      <w:rFonts w:ascii="宋体" w:hAnsi="宋体" w:cs="宋体"/>
      <w:b/>
      <w:bCs/>
      <w:kern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qFormat/>
    <w:pPr>
      <w:tabs>
        <w:tab w:val="center" w:pos="4153"/>
        <w:tab w:val="right" w:pos="8306"/>
      </w:tabs>
      <w:snapToGrid w:val="0"/>
      <w:jc w:val="left"/>
    </w:pPr>
    <w:rPr>
      <w:sz w:val="18"/>
      <w:szCs w:val="18"/>
    </w:rPr>
  </w:style>
  <w:style w:type="paragraph" w:styleId="a5">
    <w:name w:val="Body Text"/>
    <w:basedOn w:val="a"/>
    <w:link w:val="a6"/>
    <w:uiPriority w:val="99"/>
    <w:qFormat/>
    <w:pPr>
      <w:autoSpaceDE w:val="0"/>
      <w:autoSpaceDN w:val="0"/>
      <w:jc w:val="left"/>
    </w:pPr>
    <w:rPr>
      <w:rFonts w:ascii="宋体" w:hAnsi="宋体" w:cs="宋体"/>
      <w:kern w:val="0"/>
      <w:sz w:val="24"/>
      <w:szCs w:val="24"/>
      <w:lang w:eastAsia="en-US"/>
    </w:rPr>
  </w:style>
  <w:style w:type="paragraph" w:styleId="a7">
    <w:name w:val="Date"/>
    <w:basedOn w:val="a"/>
    <w:next w:val="a"/>
    <w:link w:val="a8"/>
    <w:uiPriority w:val="99"/>
    <w:semiHidden/>
    <w:qFormat/>
    <w:pPr>
      <w:ind w:leftChars="2500" w:left="100"/>
    </w:p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cs="Cambria"/>
      <w:b/>
      <w:bCs/>
      <w:kern w:val="28"/>
      <w:sz w:val="32"/>
      <w:szCs w:val="32"/>
    </w:rPr>
  </w:style>
  <w:style w:type="paragraph" w:styleId="ad">
    <w:name w:val="Normal (Web)"/>
    <w:basedOn w:val="a"/>
    <w:uiPriority w:val="99"/>
    <w:qFormat/>
    <w:pPr>
      <w:spacing w:beforeAutospacing="1" w:afterAutospacing="1"/>
      <w:jc w:val="left"/>
    </w:pPr>
    <w:rPr>
      <w:kern w:val="0"/>
      <w:sz w:val="24"/>
      <w:szCs w:val="24"/>
    </w:rPr>
  </w:style>
  <w:style w:type="table" w:styleId="ae">
    <w:name w:val="Table Grid"/>
    <w:basedOn w:val="a2"/>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99"/>
    <w:qFormat/>
    <w:rPr>
      <w:b/>
      <w:bCs/>
    </w:rPr>
  </w:style>
  <w:style w:type="character" w:styleId="af0">
    <w:name w:val="page number"/>
    <w:basedOn w:val="a1"/>
    <w:uiPriority w:val="99"/>
    <w:qFormat/>
  </w:style>
  <w:style w:type="character" w:customStyle="1" w:styleId="20">
    <w:name w:val="标题 2 字符"/>
    <w:basedOn w:val="a1"/>
    <w:link w:val="2"/>
    <w:uiPriority w:val="99"/>
    <w:qFormat/>
    <w:locked/>
    <w:rPr>
      <w:rFonts w:ascii="Cambria" w:eastAsia="宋体" w:hAnsi="Cambria" w:cs="Cambria"/>
      <w:b/>
      <w:bCs/>
      <w:sz w:val="32"/>
      <w:szCs w:val="32"/>
    </w:rPr>
  </w:style>
  <w:style w:type="character" w:customStyle="1" w:styleId="30">
    <w:name w:val="标题 3 字符"/>
    <w:basedOn w:val="a1"/>
    <w:link w:val="3"/>
    <w:uiPriority w:val="99"/>
    <w:semiHidden/>
    <w:qFormat/>
    <w:locked/>
    <w:rPr>
      <w:b/>
      <w:bCs/>
      <w:sz w:val="32"/>
      <w:szCs w:val="32"/>
    </w:rPr>
  </w:style>
  <w:style w:type="character" w:customStyle="1" w:styleId="70">
    <w:name w:val="标题 7 字符"/>
    <w:basedOn w:val="a1"/>
    <w:link w:val="7"/>
    <w:uiPriority w:val="99"/>
    <w:qFormat/>
    <w:locked/>
    <w:rPr>
      <w:rFonts w:ascii="宋体" w:eastAsia="宋体" w:hAnsi="宋体" w:cs="宋体"/>
      <w:b/>
      <w:bCs/>
      <w:kern w:val="0"/>
      <w:sz w:val="24"/>
      <w:szCs w:val="24"/>
      <w:lang w:eastAsia="en-US"/>
    </w:rPr>
  </w:style>
  <w:style w:type="character" w:customStyle="1" w:styleId="aa">
    <w:name w:val="页眉 字符"/>
    <w:basedOn w:val="a1"/>
    <w:link w:val="a9"/>
    <w:uiPriority w:val="99"/>
    <w:qFormat/>
    <w:locked/>
    <w:rPr>
      <w:sz w:val="18"/>
      <w:szCs w:val="18"/>
    </w:rPr>
  </w:style>
  <w:style w:type="character" w:customStyle="1" w:styleId="a4">
    <w:name w:val="页脚 字符"/>
    <w:basedOn w:val="a1"/>
    <w:link w:val="a0"/>
    <w:uiPriority w:val="99"/>
    <w:qFormat/>
    <w:locked/>
    <w:rPr>
      <w:sz w:val="18"/>
      <w:szCs w:val="18"/>
    </w:rPr>
  </w:style>
  <w:style w:type="character" w:customStyle="1" w:styleId="ac">
    <w:name w:val="副标题 字符"/>
    <w:basedOn w:val="a1"/>
    <w:link w:val="ab"/>
    <w:uiPriority w:val="99"/>
    <w:qFormat/>
    <w:locked/>
    <w:rPr>
      <w:rFonts w:ascii="Cambria" w:hAnsi="Cambria" w:cs="Cambria"/>
      <w:b/>
      <w:bCs/>
      <w:kern w:val="28"/>
      <w:sz w:val="32"/>
      <w:szCs w:val="32"/>
    </w:rPr>
  </w:style>
  <w:style w:type="character" w:customStyle="1" w:styleId="a6">
    <w:name w:val="正文文本 字符"/>
    <w:basedOn w:val="a1"/>
    <w:link w:val="a5"/>
    <w:uiPriority w:val="99"/>
    <w:qFormat/>
    <w:locked/>
    <w:rPr>
      <w:rFonts w:ascii="宋体" w:eastAsia="宋体" w:hAnsi="宋体" w:cs="宋体"/>
      <w:kern w:val="0"/>
      <w:sz w:val="24"/>
      <w:szCs w:val="24"/>
      <w:lang w:eastAsia="en-US"/>
    </w:rPr>
  </w:style>
  <w:style w:type="paragraph" w:customStyle="1" w:styleId="TableParagraph">
    <w:name w:val="Table Paragraph"/>
    <w:basedOn w:val="a"/>
    <w:uiPriority w:val="99"/>
    <w:qFormat/>
    <w:pPr>
      <w:autoSpaceDE w:val="0"/>
      <w:autoSpaceDN w:val="0"/>
      <w:jc w:val="left"/>
    </w:pPr>
    <w:rPr>
      <w:rFonts w:ascii="宋体" w:hAnsi="宋体" w:cs="宋体"/>
      <w:kern w:val="0"/>
      <w:sz w:val="22"/>
      <w:szCs w:val="22"/>
      <w:lang w:eastAsia="en-US"/>
    </w:rPr>
  </w:style>
  <w:style w:type="paragraph" w:styleId="af1">
    <w:name w:val="List Paragraph"/>
    <w:basedOn w:val="a"/>
    <w:uiPriority w:val="99"/>
    <w:qFormat/>
    <w:pPr>
      <w:autoSpaceDE w:val="0"/>
      <w:autoSpaceDN w:val="0"/>
      <w:spacing w:before="36"/>
      <w:ind w:left="137"/>
      <w:jc w:val="left"/>
    </w:pPr>
    <w:rPr>
      <w:rFonts w:ascii="宋体" w:hAnsi="宋体" w:cs="宋体"/>
      <w:kern w:val="0"/>
      <w:sz w:val="22"/>
      <w:szCs w:val="22"/>
      <w:lang w:eastAsia="en-US"/>
    </w:rPr>
  </w:style>
  <w:style w:type="character" w:customStyle="1" w:styleId="a8">
    <w:name w:val="日期 字符"/>
    <w:basedOn w:val="a1"/>
    <w:link w:val="a7"/>
    <w:uiPriority w:val="99"/>
    <w:semiHidden/>
    <w:qFormat/>
    <w:locked/>
    <w:rPr>
      <w:sz w:val="24"/>
      <w:szCs w:val="24"/>
    </w:rPr>
  </w:style>
  <w:style w:type="paragraph" w:customStyle="1" w:styleId="null3">
    <w:name w:val="null3"/>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1994</Characters>
  <Application>Microsoft Office Word</Application>
  <DocSecurity>0</DocSecurity>
  <Lines>16</Lines>
  <Paragraphs>4</Paragraphs>
  <ScaleCrop>false</ScaleCrop>
  <Company>福建漳州</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采购内容及要求</dc:title>
  <dc:creator>USER</dc:creator>
  <cp:lastModifiedBy>达发 姚</cp:lastModifiedBy>
  <cp:revision>4</cp:revision>
  <dcterms:created xsi:type="dcterms:W3CDTF">2024-11-28T01:52:00Z</dcterms:created>
  <dcterms:modified xsi:type="dcterms:W3CDTF">2024-11-28T02:13:00Z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0865E144B8D7413EBE390EB2886A09F6_12</vt:lpwstr>
  </property>
</Properties>
</file>