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厦门市二类移动监测站更新项目</w:t>
      </w:r>
    </w:p>
    <w:p>
      <w:pPr>
        <w:pStyle w:val="null3"/>
        <w:jc w:val="center"/>
        <w:outlineLvl w:val="2"/>
      </w:pPr>
      <w:r>
        <w:rPr>
          <w:sz w:val="28"/>
          <w:b/>
        </w:rPr>
        <w:t>备案编号：</w:t>
      </w:r>
      <w:r>
        <w:rPr>
          <w:sz w:val="28"/>
          <w:b/>
        </w:rPr>
        <w:t>CGXM-2024-350201-00413[2024]00274</w:t>
      </w:r>
    </w:p>
    <w:p>
      <w:pPr>
        <w:pStyle w:val="null3"/>
        <w:jc w:val="center"/>
        <w:outlineLvl w:val="2"/>
      </w:pPr>
      <w:r>
        <w:rPr>
          <w:sz w:val="28"/>
          <w:b/>
        </w:rPr>
        <w:t>项目编号：</w:t>
      </w:r>
      <w:r>
        <w:rPr>
          <w:sz w:val="28"/>
          <w:b/>
        </w:rPr>
        <w:t>[350201]CJX[GK]2024001</w:t>
      </w:r>
    </w:p>
    <w:p>
      <w:pPr>
        <w:pStyle w:val="null3"/>
        <w:jc w:val="center"/>
        <w:outlineLvl w:val="2"/>
      </w:pPr>
      <w:r>
        <w:rPr>
          <w:sz w:val="28"/>
          <w:b/>
        </w:rPr>
        <w:t>采购人：</w:t>
      </w:r>
      <w:r>
        <w:rPr>
          <w:sz w:val="28"/>
          <w:b/>
        </w:rPr>
        <w:t>厦门市无线电管理局</w:t>
      </w:r>
    </w:p>
    <w:p>
      <w:pPr>
        <w:pStyle w:val="null3"/>
        <w:jc w:val="center"/>
        <w:outlineLvl w:val="2"/>
      </w:pPr>
      <w:r>
        <w:rPr>
          <w:sz w:val="28"/>
          <w:b/>
        </w:rPr>
        <w:t>代理机构：</w:t>
      </w:r>
      <w:r>
        <w:rPr>
          <w:sz w:val="28"/>
          <w:b/>
        </w:rPr>
        <w:t>泉州诚杰信建设工程管理有限公司</w:t>
      </w:r>
    </w:p>
    <w:p>
      <w:pPr>
        <w:pStyle w:val="null3"/>
        <w:jc w:val="center"/>
        <w:outlineLvl w:val="2"/>
      </w:pPr>
      <w:r>
        <w:rPr>
          <w:sz w:val="28"/>
          <w:b/>
        </w:rPr>
        <w:t>编制时间</w:t>
      </w:r>
      <w:r>
        <w:rPr>
          <w:sz w:val="28"/>
          <w:b/>
        </w:rPr>
        <w:t>：</w:t>
      </w:r>
      <w:r>
        <w:rPr>
          <w:sz w:val="28"/>
          <w:b/>
        </w:rPr>
        <w:t>2024年11月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泉州诚杰信建设工程管理有限公司</w:t>
      </w:r>
      <w:r>
        <w:rPr/>
        <w:t xml:space="preserve"> 采用公开招标方式组织 </w:t>
      </w:r>
      <w:r>
        <w:rPr/>
        <w:t>厦门市二类移动监测站更新项目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CGXM-2024-350201-00413[2024]00274</w:t>
      </w:r>
    </w:p>
    <w:p>
      <w:pPr>
        <w:pStyle w:val="null3"/>
        <w:ind w:firstLine="480"/>
        <w:jc w:val="left"/>
        <w:outlineLvl w:val="2"/>
      </w:pPr>
      <w:r>
        <w:rPr>
          <w:sz w:val="28"/>
          <w:b/>
        </w:rPr>
        <w:t>2、项目编号</w:t>
      </w:r>
      <w:r>
        <w:rPr>
          <w:sz w:val="28"/>
          <w:b/>
        </w:rPr>
        <w:t>：</w:t>
      </w:r>
      <w:r>
        <w:rPr>
          <w:sz w:val="28"/>
          <w:b/>
        </w:rPr>
        <w:t>[350201]CJX[GK]2024001</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本项目不适用</w:t>
      </w:r>
    </w:p>
    <w:p>
      <w:pPr>
        <w:pStyle w:val="null3"/>
        <w:ind w:firstLine="960"/>
        <w:jc w:val="left"/>
      </w:pPr>
      <w:r>
        <w:rPr/>
        <w:t>节能产品：</w:t>
      </w:r>
      <w:r>
        <w:rPr/>
        <w:t>本项目适用</w:t>
      </w:r>
    </w:p>
    <w:p>
      <w:pPr>
        <w:pStyle w:val="null3"/>
        <w:ind w:firstLine="960"/>
        <w:jc w:val="left"/>
      </w:pPr>
      <w:r>
        <w:rPr/>
        <w:t>环境标志产品：</w:t>
      </w:r>
      <w:r>
        <w:rPr/>
        <w:t>本项目适用</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t>特定资格要求</w:t>
            </w:r>
          </w:p>
        </w:tc>
        <w:tc>
          <w:tcPr>
            <w:tcW w:type="dxa" w:w="4614"/>
          </w:tcPr>
          <w:p>
            <w:pPr>
              <w:pStyle w:val="null3"/>
              <w:jc w:val="left"/>
            </w:pPr>
            <w:r>
              <w:rPr/>
              <w:t>1、采用资格承诺制的供应商，须根据投标(响应)格式文件要求提供资格承诺函，否则，视为未按照招标文件规定提交投标人的资格及资信文件，按资格审查不合格处理。2、依据《财政部关于在政府采购活动中查询及使用信用记录有关问题的通知》财库〔2016〕125号规定及厦门市财政局《关于进一步规范供应商信用记录查询使用的通知》（厦财采〔2020〕14号）的规定执行，具体要求如下： （1）信用信息查询渠道：资格审查小组通过“信用中国”网站（www.creditchina.gov.cn）、中国政府采购网（www.ccgp.gov.cn）、“信用厦门”网站（credit.xm.gov.cn）查询所有投标人的信用信息。（2）截止时点：查询本项目投标截止时间点前三年内的信用信息。（3）查询记录和证据留存方式：资格审查小组将查询结果网页打印后随采购文件一并存档。（4）信用信息的使用规则： ①查询结果显示存在不良信用记录（包含列入失信被执行人、重大税收违法案件当事人名单、政府采购严重违法失信行为记录名单、受到行政处罚且处罚金额达到处罚所在地听证标准，且相关信用惩戒期限未满及其他不符合《中华人民共和国政府采购法》第二十二条规定条件）的投标人，其资格审查不合格。②联合体参加政府采购活动的，资格审查小组将对所有联合体成员进行信用记录查询，联合体成员存在不良信用记录的，视同联合体存在不良信用记录，联合体资格审查不合格。③因查询渠道网站原因导致查无投标人信息的，不认定投标人资格审查不合格；评审结束后，通过其他渠道发现投标人存在不良信用记录的，不认定为资格审查错误，将依照有关规定进行调查处理。④投标人无需提供信用信息查询结果。若投标人自行提供查询结果的，仍以资格审查人员查询结果为准。3、本项目允许采用“资格承诺制”，根据《福建省财政厅关于印发推行政府采购供应商资格承诺制指导意见的通知》(闽财购(2024)6号)规定，投标人在投标文件中提供《福建省政府采购供应商资格承诺函》的，可不提供《中华人民共和国政府采购法实施条例》第十七条第一款规定的资格条件证明材料。4、投标人应当遵循诚实信用原则，并对其承诺内容的真实性、合法性、有效性负责。投标人承诺不实的，属于提供虚假材料谋取中标、成交，依照《中华人民共和国政府采购法》第七十七条和政府采购法律法规有关规定处理。5、投标人可自行选择是否提供资格承诺函，若不提供资格承诺函的，应按招标文件要求提供相应的证明材料。若投标人提供资信证明的，则须提供2023年1月1日以来开户银行出具的资信证明复印件(若资信证明备注有效期的，必须在有效期内，否则为无效资信证明。</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厦门市无线电管理局</w:t>
      </w:r>
    </w:p>
    <w:p>
      <w:pPr>
        <w:pStyle w:val="null3"/>
        <w:ind w:firstLine="960"/>
        <w:jc w:val="left"/>
      </w:pPr>
      <w:r>
        <w:rPr/>
        <w:t xml:space="preserve"> 地址： </w:t>
      </w:r>
      <w:r>
        <w:rPr/>
        <w:t>厦门市会展南二路200号</w:t>
      </w:r>
    </w:p>
    <w:p>
      <w:pPr>
        <w:pStyle w:val="null3"/>
        <w:jc w:val="left"/>
      </w:pPr>
      <w:r>
        <w:rPr/>
        <w:t xml:space="preserve"> 邮编： </w:t>
      </w:r>
      <w:r>
        <w:rPr/>
        <w:t>361000</w:t>
      </w:r>
    </w:p>
    <w:p>
      <w:pPr>
        <w:pStyle w:val="null3"/>
        <w:jc w:val="left"/>
      </w:pPr>
      <w:r>
        <w:rPr/>
        <w:t xml:space="preserve"> 联系人： </w:t>
      </w:r>
      <w:r>
        <w:rPr/>
        <w:t>卢先生</w:t>
      </w:r>
    </w:p>
    <w:p>
      <w:pPr>
        <w:pStyle w:val="null3"/>
        <w:jc w:val="left"/>
      </w:pPr>
      <w:r>
        <w:rPr/>
        <w:t xml:space="preserve"> 联系电话： </w:t>
      </w:r>
      <w:r>
        <w:rPr/>
        <w:t>18659990111</w:t>
      </w:r>
    </w:p>
    <w:p>
      <w:pPr>
        <w:pStyle w:val="null3"/>
        <w:ind w:firstLine="480"/>
        <w:jc w:val="left"/>
        <w:outlineLvl w:val="2"/>
      </w:pPr>
      <w:r>
        <w:rPr>
          <w:sz w:val="28"/>
          <w:b/>
        </w:rPr>
        <w:t>12、代理机构</w:t>
      </w:r>
      <w:r>
        <w:rPr>
          <w:sz w:val="28"/>
          <w:b/>
        </w:rPr>
        <w:t>：</w:t>
      </w:r>
      <w:r>
        <w:rPr>
          <w:sz w:val="28"/>
          <w:b/>
        </w:rPr>
        <w:t>泉州诚杰信建设工程管理有限公司</w:t>
      </w:r>
    </w:p>
    <w:p>
      <w:pPr>
        <w:pStyle w:val="null3"/>
        <w:ind w:firstLine="960"/>
        <w:jc w:val="both"/>
      </w:pPr>
      <w:r>
        <w:rPr/>
        <w:t xml:space="preserve"> 地址： </w:t>
      </w:r>
      <w:r>
        <w:rPr/>
        <w:t>德化县龙浔镇宝美工业区得盛集团5楼</w:t>
      </w:r>
    </w:p>
    <w:p>
      <w:pPr>
        <w:pStyle w:val="null3"/>
        <w:jc w:val="both"/>
      </w:pPr>
      <w:r>
        <w:rPr/>
        <w:t xml:space="preserve"> 邮编： </w:t>
      </w:r>
      <w:r>
        <w:rPr/>
        <w:t>362500</w:t>
      </w:r>
    </w:p>
    <w:p>
      <w:pPr>
        <w:pStyle w:val="null3"/>
        <w:jc w:val="both"/>
      </w:pPr>
      <w:r>
        <w:rPr/>
        <w:t xml:space="preserve"> 联系人： </w:t>
      </w:r>
      <w:r>
        <w:rPr/>
        <w:t>陈女士</w:t>
      </w:r>
    </w:p>
    <w:p>
      <w:pPr>
        <w:pStyle w:val="null3"/>
        <w:jc w:val="both"/>
      </w:pPr>
      <w:r>
        <w:rPr/>
        <w:t xml:space="preserve"> 联系电话： </w:t>
      </w:r>
      <w:r>
        <w:rPr/>
        <w:t>15060866197</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泉州诚杰信建设工程管理有限公司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3,500,000.00</w:t>
      </w:r>
    </w:p>
    <w:p>
      <w:pPr>
        <w:pStyle w:val="null3"/>
        <w:jc w:val="left"/>
      </w:pPr>
      <w:r>
        <w:rPr/>
        <w:t>采购包最高限价（元）: 3,500,000.00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厦门市二类移动监测站更新项目</w:t>
            </w:r>
          </w:p>
        </w:tc>
        <w:tc>
          <w:tcPr>
            <w:tcW w:type="dxa" w:w="1187"/>
          </w:tcPr>
          <w:p>
            <w:pPr>
              <w:pStyle w:val="null3"/>
              <w:jc w:val="right"/>
            </w:pPr>
            <w:r>
              <w:rPr/>
              <w:t>1.00</w:t>
            </w:r>
          </w:p>
        </w:tc>
        <w:tc>
          <w:tcPr>
            <w:tcW w:type="dxa" w:w="1187"/>
          </w:tcPr>
          <w:p>
            <w:pPr>
              <w:pStyle w:val="null3"/>
              <w:jc w:val="right"/>
            </w:pPr>
            <w:r>
              <w:rPr/>
              <w:t>3,500,000.00</w:t>
            </w:r>
          </w:p>
        </w:tc>
        <w:tc>
          <w:tcPr>
            <w:tcW w:type="dxa" w:w="1187"/>
          </w:tcPr>
          <w:p>
            <w:pPr>
              <w:pStyle w:val="null3"/>
              <w:jc w:val="left"/>
            </w:pPr>
            <w:r>
              <w:rPr/>
              <w:t>套</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厦门市二类移动监测站更新项目</w:t>
            </w:r>
          </w:p>
        </w:tc>
        <w:tc>
          <w:tcPr>
            <w:tcW w:type="dxa" w:w="554"/>
          </w:tcPr>
          <w:p>
            <w:pPr>
              <w:pStyle w:val="null3"/>
              <w:jc w:val="left"/>
            </w:pPr>
            <w:r>
              <w:rPr/>
              <w:t>套</w:t>
            </w:r>
          </w:p>
        </w:tc>
        <w:tc>
          <w:tcPr>
            <w:tcW w:type="dxa" w:w="554"/>
          </w:tcPr>
          <w:p>
            <w:pPr>
              <w:pStyle w:val="null3"/>
              <w:jc w:val="left"/>
            </w:pPr>
            <w:r>
              <w:rPr/>
              <w:t>元</w:t>
            </w:r>
          </w:p>
        </w:tc>
        <w:tc>
          <w:tcPr>
            <w:tcW w:type="dxa" w:w="1384"/>
          </w:tcPr>
          <w:p>
            <w:pPr>
              <w:pStyle w:val="null3"/>
              <w:jc w:val="right"/>
            </w:pPr>
            <w:r>
              <w:rPr/>
              <w:t>3,500,000.00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厦门市二类移动监测站更新项目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厦门市二类移动监测站更新项目</w:t>
            </w:r>
          </w:p>
        </w:tc>
        <w:tc>
          <w:tcPr>
            <w:tcW w:type="dxa" w:w="2076"/>
          </w:tcPr>
          <w:p>
            <w:pPr>
              <w:pStyle w:val="null3"/>
              <w:jc w:val="left"/>
            </w:pPr>
            <w:r>
              <w:rPr/>
              <w:t>厦门市二类移动监测站更新项目</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3,500,000.00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自中标通知书发出之日起20个日历日内。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泉州诚杰信建设工程管理有限公司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厦门市采购监督管理办公室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①本项目类别：货物类。②招标代理服务费收费标准：本项目代理服务费以单个采购包的中标金额为计费基础，招标代理服务费由中标人在领取《中标通知书》前，以银行转账、电汇方式（注：不接受转账支票、现金存款单、汇票、个人名义等。）等付款方式一次性缴清至泉州诚杰信建设工程管理有限公司指定账户。收费标准（以单个采购包中标金额为基数）具体为：基数≤100万元部分，按1.5%计取；100万元＜基数≤500万元部分，按1.1%计取；500万元＜基数≤1000万元部分，按0.8%计取；1000万元＜基数≤5000万元部分，按0.5%计取；分段累进计算。③经认定符合中小企业政策规定且资料提供完整的中小企业，中标后可享受代理服务费下浮10%的优惠。</w:t>
            </w:r>
          </w:p>
          <w:p>
            <w:pPr>
              <w:pStyle w:val="null3"/>
              <w:jc w:val="left"/>
            </w:pPr>
            <w:r>
              <w:rPr/>
              <w:t xml:space="preserve"> (2)其他：</w:t>
            </w:r>
          </w:p>
          <w:p>
            <w:pPr>
              <w:pStyle w:val="null3"/>
              <w:jc w:val="left"/>
            </w:pPr>
            <w:r>
              <w:rPr/>
              <w:t>1）质疑受理的其它要求：a.质疑人递交质疑函时还应出具质疑人已在福建省政府采购网上公开信息系统上已对本项目进行报名的证明文件（体现报名时间），否则将不被认定为潜在投标人，其质疑将不予受理。【招标文件首次下载之日为质疑人在福建省政府采购网上公开信息系统成功报名之日。】 b.质疑人为法人或其他组织的，质疑函需逐页加盖质疑人单位公章；若本项目接受自然人投标且质疑人为自然人的，质疑函需质疑人本人逐页签名。否则质疑将不予受理。 c.在法定质疑期内供应商须一次性提出针对同一采购程序环节的质疑，二（多）次质疑不予受理。 d.投标人对本项目招标文件有任何疑议或不认同之处，需在法定时间内按规定提出质疑，否则视为投标人接受招标文件的规定。e.非法定代表人送达时，授权代表须提供法定代表人授权书和法定代表人及授权代表的身份证复印件及为授权代表缴交的近6个月社保缴费证明材料，并加盖公章，否则不予受理。 2）、开标后，如个别供应商开标报价明显低于其它供应商报价的，根据系统自动预警提示，评标时，评委会将会对价格合理性进行评估，根据《政府采购货物和服务招标投标管理办法》87号令第六十条的规定要求投标人在评标现场合理的时间内（一般在接到通知的半小时内）提供书面说明，必要时还应要求其一并提交有关证明材料；投标人不能证明其报价合理性的，评标委员会应将其作为投标无效处理。提前评估其报价的合理性，提早准备相应材料.3）、本项目接受远程解密和开标，投标人可不用到现场进行签到，解密时间设置为30分钟（系统出现问题时可根据现场情况适当延长）。远程参与开标流程的投标人需提前在福建省政府采购网-服务专区中下载远程开标操作手册，并按照操作手册的要求参与开标会。如因投标人自身原因造成无法正常参与开标过程的，产生的不利后果由投标人自行承担。</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泉州诚杰信建设工程管理有限公司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泉州诚杰信建设工程管理有限公司</w:t>
      </w:r>
      <w:r>
        <w:rPr/>
        <w:t xml:space="preserve"> 将在投标截止时间至少15个日历日前，在招标文件载明的指定媒体以更正公告的形式发布澄清或修改的内容。不足15个日历日的， </w:t>
      </w:r>
      <w:r>
        <w:rPr/>
        <w:t>泉州诚杰信建设工程管理有限公司</w:t>
      </w:r>
      <w:r>
        <w:rPr/>
        <w:t xml:space="preserve"> 将顺延投标截止时间及开标时间， </w:t>
      </w:r>
      <w:r>
        <w:rPr/>
        <w:t>泉州诚杰信建设工程管理有限公司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泉州诚杰信建设工程管理有限公司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泉州诚杰信建设工程管理有限公司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泉州诚杰信建设工程管理有限公司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泉州诚杰信建设工程管理有限公司</w:t>
      </w:r>
      <w:r>
        <w:rPr/>
        <w:t xml:space="preserve"> 可终止招标并发布终止公告。</w:t>
      </w:r>
    </w:p>
    <w:p>
      <w:pPr>
        <w:pStyle w:val="null3"/>
        <w:ind w:firstLine="480"/>
        <w:jc w:val="both"/>
      </w:pPr>
      <w:r>
        <w:rPr/>
        <w:t xml:space="preserve">8.2终止公告作为 </w:t>
      </w:r>
      <w:r>
        <w:rPr/>
        <w:t>泉州诚杰信建设工程管理有限公司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泉州诚杰信建设工程管理有限公司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泉州诚杰信建设工程管理有限公司</w:t>
      </w:r>
      <w:r>
        <w:rPr/>
        <w:t xml:space="preserve"> 可于投标有效期届满之前书面要求投标人延长投标有效期，投标人应在 </w:t>
      </w:r>
      <w:r>
        <w:rPr/>
        <w:t>泉州诚杰信建设工程管理有限公司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泉州诚杰信建设工程管理有限公司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泉州诚杰信建设工程管理有限公司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泉州诚杰信建设工程管理有限公司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泉州诚杰信建设工程管理有限公司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泉州诚杰信建设工程管理有限公司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泉州诚杰信建设工程管理有限公司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泉州诚杰信建设工程管理有限公司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泉州诚杰信建设工程管理有限公司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泉州诚杰信建设工程管理有限公司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泉州诚杰信建设工程管理有限公司</w:t>
      </w:r>
      <w:r>
        <w:rPr/>
        <w:t xml:space="preserve"> 提出询问， </w:t>
      </w:r>
      <w:r>
        <w:rPr/>
        <w:t>泉州诚杰信建设工程管理有限公司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泉州诚杰信建设工程管理有限公司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泉州诚杰信建设工程管理有限公司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由泉州诚杰信建设工程管理有限公司派出的工作人员至少1人，</w:t>
      </w:r>
      <w:r>
        <w:rPr/>
        <w:t>其余1人可为采购人代表或泉州诚杰信建设工程管理有限公司的工作人员。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t>特定资格要求</w:t>
            </w:r>
          </w:p>
        </w:tc>
        <w:tc>
          <w:tcPr>
            <w:tcW w:type="dxa" w:w="4614"/>
          </w:tcPr>
          <w:p>
            <w:pPr>
              <w:pStyle w:val="null3"/>
              <w:jc w:val="left"/>
            </w:pPr>
            <w:r>
              <w:rPr/>
              <w:t>1、采用资格承诺制的供应商，须根据投标(响应)格式文件要求提供资格承诺函，否则，视为未按照招标文件规定提交投标人的资格及资信文件，按资格审查不合格处理。2、依据《财政部关于在政府采购活动中查询及使用信用记录有关问题的通知》财库〔2016〕125号规定及厦门市财政局《关于进一步规范供应商信用记录查询使用的通知》（厦财采〔2020〕14号）的规定执行，具体要求如下： （1）信用信息查询渠道：资格审查小组通过“信用中国”网站（www.creditchina.gov.cn）、中国政府采购网（www.ccgp.gov.cn）、“信用厦门”网站（credit.xm.gov.cn）查询所有投标人的信用信息。（2）截止时点：查询本项目投标截止时间点前三年内的信用信息。（3）查询记录和证据留存方式：资格审查小组将查询结果网页打印后随采购文件一并存档。（4）信用信息的使用规则： ①查询结果显示存在不良信用记录（包含列入失信被执行人、重大税收违法案件当事人名单、政府采购严重违法失信行为记录名单、受到行政处罚且处罚金额达到处罚所在地听证标准，且相关信用惩戒期限未满及其他不符合《中华人民共和国政府采购法》第二十二条规定条件）的投标人，其资格审查不合格。②联合体参加政府采购活动的，资格审查小组将对所有联合体成员进行信用记录查询，联合体成员存在不良信用记录的，视同联合体存在不良信用记录，联合体资格审查不合格。③因查询渠道网站原因导致查无投标人信息的，不认定投标人资格审查不合格；评审结束后，通过其他渠道发现投标人存在不良信用记录的，不认定为资格审查错误，将依照有关规定进行调查处理。④投标人无需提供信用信息查询结果。若投标人自行提供查询结果的，仍以资格审查人员查询结果为准。3、本项目允许采用“资格承诺制”，根据《福建省财政厅关于印发推行政府采购供应商资格承诺制指导意见的通知》(闽财购(2024)6号)规定，投标人在投标文件中提供《福建省政府采购供应商资格承诺函》的，可不提供《中华人民共和国政府采购法实施条例》第十七条第一款规定的资格条件证明材料。4、投标人应当遵循诚实信用原则，并对其承诺内容的真实性、合法性、有效性负责。投标人承诺不实的，属于提供虚假材料谋取中标、成交，依照《中华人民共和国政府采购法》第七十七条和政府采购法律法规有关规定处理。5、投标人可自行选择是否提供资格承诺函，若不提供资格承诺函的，应按招标文件要求提供相应的证明材料。若投标人提供资信证明的，则须提供2023年1月1日以来开户银行出具的资信证明复印件(若资信证明备注有效期的，必须在有效期内，否则为无效资信证明。</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泉州诚杰信建设工程管理有限公司</w:t>
      </w:r>
      <w:r>
        <w:rPr/>
        <w:t xml:space="preserve"> 统一对外发布。</w:t>
      </w:r>
    </w:p>
    <w:p>
      <w:pPr>
        <w:pStyle w:val="null3"/>
        <w:ind w:firstLine="480"/>
        <w:jc w:val="both"/>
      </w:pPr>
      <w:r>
        <w:rPr/>
        <w:t xml:space="preserve">3、资格审查合格的投标人不足三家的，不进行评标。同时，本次采购活动结束， </w:t>
      </w:r>
      <w:r>
        <w:rPr/>
        <w:t>泉州诚杰信建设工程管理有限公司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泉州诚杰信建设工程管理有限公司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泉州诚杰信建设工程管理有限公司</w:t>
      </w:r>
      <w:r>
        <w:rPr/>
        <w:t xml:space="preserve"> 统一对外发布。</w:t>
      </w:r>
    </w:p>
    <w:p>
      <w:pPr>
        <w:pStyle w:val="null3"/>
        <w:ind w:firstLine="480"/>
        <w:jc w:val="both"/>
      </w:pPr>
      <w:r>
        <w:rPr/>
        <w:t xml:space="preserve">②对 </w:t>
      </w:r>
      <w:r>
        <w:rPr/>
        <w:t>泉州诚杰信建设工程管理有限公司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招标文件第五章采购内容及要求中的“技术和服务要求”中，标注“★”参数不允许负偏离，否则视为无效标。</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招标文件第五章《商务条款要求》，不得出现负偏离，否则视为无效标。</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投标人总报价超过招标文件要求的最高限价，将被否决投标。</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泉州诚杰信建设工程管理有限公司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价格项（F1×A1）满分为30.0000分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20.0000%</w:t>
            </w:r>
          </w:p>
        </w:tc>
        <w:tc>
          <w:tcPr>
            <w:tcW w:type="dxa" w:w="4153"/>
          </w:tcPr>
          <w:p>
            <w:pPr>
              <w:pStyle w:val="null3"/>
              <w:jc w:val="both"/>
            </w:pPr>
            <w:r>
              <w:rPr/>
              <w:t>1、对小、微企业报价给予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10.0000%</w:t>
            </w:r>
          </w:p>
        </w:tc>
        <w:tc>
          <w:tcPr>
            <w:tcW w:type="dxa" w:w="5191"/>
          </w:tcPr>
          <w:p>
            <w:pPr>
              <w:pStyle w:val="null3"/>
              <w:jc w:val="both"/>
            </w:pPr>
            <w:r>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t>其他：无</w:t>
      </w:r>
    </w:p>
    <w:p>
      <w:pPr>
        <w:pStyle w:val="null3"/>
        <w:jc w:val="both"/>
      </w:pPr>
      <w:r>
        <w:rPr/>
        <w:t>技术项（F2×A2）满分为56.0000分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一般技术响应情况</w:t>
            </w:r>
          </w:p>
        </w:tc>
        <w:tc>
          <w:tcPr>
            <w:tcW w:type="dxa" w:w="831"/>
          </w:tcPr>
          <w:p>
            <w:pPr>
              <w:pStyle w:val="null3"/>
              <w:jc w:val="right"/>
            </w:pPr>
            <w:r>
              <w:rPr/>
              <w:t>29.0000</w:t>
            </w:r>
          </w:p>
        </w:tc>
        <w:tc>
          <w:tcPr>
            <w:tcW w:type="dxa" w:w="4153"/>
          </w:tcPr>
          <w:p>
            <w:pPr>
              <w:pStyle w:val="null3"/>
              <w:jc w:val="both"/>
            </w:pPr>
            <w:r>
              <w:rPr/>
              <w:t>根据各投标人所投产品对第五章《招标内容及要求》“二、技术和服务要求”的各项要求的响应、承诺情况，由评委进行评审打分，投标人所投产品的技术参数完全满足招标文件要求的得29分。其中（1）标注“★”的技术参数指标（共计8项）为不可负偏离的实质性要求，负偏离按无效投标处理；（2）标注“▲”的技术参数指标（共计5项），有不响应或负偏离的每项扣3分，若有3项及3项以上标注“▲”符号的技术指标负偏离的，实为未实质性响应招标文件，按无效投标处理；（3）标注评审项的技术参数（不含★、▲符号）为一般性要求（共计14项）每负偏离或不响应一项扣1分。 注：①招标文件中若有要求投标人提供证书或截图或图片或网址链接或检测报告等相关佐证材料的条款，投标人未提供或者投标人的响应承诺与其佐证材料不一致的，评标委员会将以不利于投标人的内容为准进行评审（负偏离）。②投标人必须根据该评审内容，对照招标文件的要求逐项进行应答，如实说明正、负偏离情况，否则，有可能做出不利于投标人的评判（负偏离）。</w:t>
            </w:r>
          </w:p>
        </w:tc>
      </w:tr>
      <w:tr>
        <w:tc>
          <w:tcPr>
            <w:tcW w:type="dxa" w:w="3322"/>
          </w:tcPr>
          <w:p>
            <w:pPr>
              <w:pStyle w:val="null3"/>
              <w:jc w:val="both"/>
            </w:pPr>
            <w:r>
              <w:rPr/>
              <w:t>监测测向天线</w:t>
            </w:r>
          </w:p>
        </w:tc>
        <w:tc>
          <w:tcPr>
            <w:tcW w:type="dxa" w:w="831"/>
          </w:tcPr>
          <w:p>
            <w:pPr>
              <w:pStyle w:val="null3"/>
              <w:jc w:val="right"/>
            </w:pPr>
            <w:r>
              <w:rPr/>
              <w:t>3.0000</w:t>
            </w:r>
          </w:p>
        </w:tc>
        <w:tc>
          <w:tcPr>
            <w:tcW w:type="dxa" w:w="4153"/>
          </w:tcPr>
          <w:p>
            <w:pPr>
              <w:pStyle w:val="null3"/>
              <w:jc w:val="both"/>
            </w:pPr>
            <w:r>
              <w:rPr/>
              <w:t>根据各投标人所投产品“监测测向系统”中“监测测向天线”在20MHz～6GHz频率范围极化实现方式进行评审。 具备垂直和水平双极化的，得3分；投标人需提供由国家认可的检测机构出具的具有CMA或CNAS标识的检测报告作为佐证，否则不得分。</w:t>
            </w:r>
          </w:p>
        </w:tc>
      </w:tr>
      <w:tr>
        <w:tc>
          <w:tcPr>
            <w:tcW w:type="dxa" w:w="3322"/>
          </w:tcPr>
          <w:p>
            <w:pPr>
              <w:pStyle w:val="null3"/>
              <w:jc w:val="both"/>
            </w:pPr>
            <w:r>
              <w:rPr/>
              <w:t>中频带宽（中频频谱分析带宽）和频率稳定度（频率准确度）</w:t>
            </w:r>
          </w:p>
        </w:tc>
        <w:tc>
          <w:tcPr>
            <w:tcW w:type="dxa" w:w="831"/>
          </w:tcPr>
          <w:p>
            <w:pPr>
              <w:pStyle w:val="null3"/>
              <w:jc w:val="right"/>
            </w:pPr>
            <w:r>
              <w:rPr/>
              <w:t>2.0000</w:t>
            </w:r>
          </w:p>
        </w:tc>
        <w:tc>
          <w:tcPr>
            <w:tcW w:type="dxa" w:w="4153"/>
          </w:tcPr>
          <w:p>
            <w:pPr>
              <w:pStyle w:val="null3"/>
              <w:jc w:val="both"/>
            </w:pPr>
            <w:r>
              <w:rPr/>
              <w:t>根据投标人所投产品“监测接收机”中“中频带宽（中频频谱分析带宽）和频率稳定度（频率准确度）”进行评审：①中频带宽（中频频谱分析带宽）≥120MHz且-0.5×10-7≤频率稳定度（频率准确度）（0°-45℃）≤+0.5×10-7的，得2分；②中频带宽（中频频谱分析带宽）≥80MHz且-1×10-7≤频率稳定度（频率准确度）（0°-45℃）≤1×10-7的，得1分；其他不得分。投标人需提供由国家认可的检测机构出具的具有CMA或CNAS标识的检测报告作为佐证，否则不得分。 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t>测向准确度（测向精度）</w:t>
            </w:r>
          </w:p>
        </w:tc>
        <w:tc>
          <w:tcPr>
            <w:tcW w:type="dxa" w:w="831"/>
          </w:tcPr>
          <w:p>
            <w:pPr>
              <w:pStyle w:val="null3"/>
              <w:jc w:val="right"/>
            </w:pPr>
            <w:r>
              <w:rPr/>
              <w:t>3.0000</w:t>
            </w:r>
          </w:p>
        </w:tc>
        <w:tc>
          <w:tcPr>
            <w:tcW w:type="dxa" w:w="4153"/>
          </w:tcPr>
          <w:p>
            <w:pPr>
              <w:pStyle w:val="null3"/>
              <w:jc w:val="both"/>
            </w:pPr>
            <w:r>
              <w:rPr/>
              <w:t>根据各投标人所投产品“测向系统”指标“测向准确度（测向精度）”进行评审。①测向准确度（测向精度）≤1°（30MHz～6GHz,R.M.S，无反射环境，包括垂直和水平极化）得3分；②测向准确度（测向精度）≤1.5°（30MHz～6GHz,R.M.S，无反射环境，包括垂直和水平极化）得2分；③测向准确度（测向精度）≤2°（30MHz～6GHz,R.M.S，无反射环境，包括垂直和水平极化）得1分；其他不得分。 投标人需提供由国家认可检测机构出具的具有CMA或CNAS标识的检测报告作为佐证，测向准确度（测向精度）的检测项目必须在第三方检测机构的CMA或CNAS的授权范围内，检测标准为GB/T34089-2017《VHF/UHF无线电监测测向系统开场测试参数和测试方法》、YD/T3811-2020《3GHz-12.75GHz频段无线电测向系统测试方法》（有最新标准的按最新标准），否则不得分。</w:t>
            </w:r>
          </w:p>
        </w:tc>
      </w:tr>
      <w:tr>
        <w:tc>
          <w:tcPr>
            <w:tcW w:type="dxa" w:w="3322"/>
          </w:tcPr>
          <w:p>
            <w:pPr>
              <w:pStyle w:val="null3"/>
              <w:jc w:val="both"/>
            </w:pPr>
            <w:r>
              <w:rPr/>
              <w:t>测向灵敏度</w:t>
            </w:r>
          </w:p>
        </w:tc>
        <w:tc>
          <w:tcPr>
            <w:tcW w:type="dxa" w:w="831"/>
          </w:tcPr>
          <w:p>
            <w:pPr>
              <w:pStyle w:val="null3"/>
              <w:jc w:val="right"/>
            </w:pPr>
            <w:r>
              <w:rPr/>
              <w:t>2.0000</w:t>
            </w:r>
          </w:p>
        </w:tc>
        <w:tc>
          <w:tcPr>
            <w:tcW w:type="dxa" w:w="4153"/>
          </w:tcPr>
          <w:p>
            <w:pPr>
              <w:pStyle w:val="null3"/>
              <w:jc w:val="both"/>
            </w:pPr>
            <w:r>
              <w:rPr/>
              <w:t>根据各投标人所投产品“测向系统”指标“测向灵敏度”进行评审。 ①测向灵敏度≤10dBµV/m（30MHz-3GHz），≤15dBµV/m（3GHz-6GHz）（含垂直和水平极化），得2分；②测向灵敏度≤15dBµV/m（30MHz-3GHz），≤20dBµV/m（3GHz-6GHz）（含垂直和水平极化），得1分；其他不得分。 投标人需提供由国家认可检测机构出具的具有CMA或CNAS标识的检测报告作为佐证，测向灵敏度的检测项目必须在第三方检测机构的CMA或CNAS的授权范围内，检测标准为GB/T34089-2017《VHF/UHF无线电监测测向系统开场测试参数和测试方法》、YD/T3811-2020《3GHz-12.75GHz频段无线电测向系统测试方法》（有最新标准的按最新标准），否则不得分。</w:t>
            </w:r>
          </w:p>
        </w:tc>
      </w:tr>
      <w:tr>
        <w:tc>
          <w:tcPr>
            <w:tcW w:type="dxa" w:w="3322"/>
          </w:tcPr>
          <w:p>
            <w:pPr>
              <w:pStyle w:val="null3"/>
              <w:jc w:val="both"/>
            </w:pPr>
            <w:r>
              <w:rPr/>
              <w:t>测向时效</w:t>
            </w:r>
          </w:p>
        </w:tc>
        <w:tc>
          <w:tcPr>
            <w:tcW w:type="dxa" w:w="831"/>
          </w:tcPr>
          <w:p>
            <w:pPr>
              <w:pStyle w:val="null3"/>
              <w:jc w:val="right"/>
            </w:pPr>
            <w:r>
              <w:rPr/>
              <w:t>2.0000</w:t>
            </w:r>
          </w:p>
        </w:tc>
        <w:tc>
          <w:tcPr>
            <w:tcW w:type="dxa" w:w="4153"/>
          </w:tcPr>
          <w:p>
            <w:pPr>
              <w:pStyle w:val="null3"/>
              <w:jc w:val="both"/>
            </w:pPr>
            <w:r>
              <w:rPr/>
              <w:t>根据各投标人所投产品“测向系统”指标“测向时效”进行评审。①测向时效（单次突发信号，20MHz-6GHz，垂直或水平极化）≤0.2ms的，得2分；②测向时效（单次突发信号，20MHz-6GHz，垂直或水平极化）≤0.5ms的，得1分；其他不得分。 投标人需提供由国家认可检测机构出具的具有CMA或CNAS标识的检测报告作为佐证，测向时效的检测项目必须在第三方检测机构的CMA或CNAS的授权范围内，检测标准为GB/T34089-2017《VHF/UHF无线电监测测向系统开场测试参数和测试方法》、YD/T3811-2020《3GHz-12.75GHz频段无线电测向系统测试方法》（有最新标准的按最新标准），否则不得分。</w:t>
            </w:r>
          </w:p>
        </w:tc>
      </w:tr>
      <w:tr>
        <w:tc>
          <w:tcPr>
            <w:tcW w:type="dxa" w:w="3322"/>
          </w:tcPr>
          <w:p>
            <w:pPr>
              <w:pStyle w:val="null3"/>
              <w:jc w:val="both"/>
            </w:pPr>
            <w:r>
              <w:rPr/>
              <w:t>宽带测向能力</w:t>
            </w:r>
          </w:p>
        </w:tc>
        <w:tc>
          <w:tcPr>
            <w:tcW w:type="dxa" w:w="831"/>
          </w:tcPr>
          <w:p>
            <w:pPr>
              <w:pStyle w:val="null3"/>
              <w:jc w:val="right"/>
            </w:pPr>
            <w:r>
              <w:rPr/>
              <w:t>3.0000</w:t>
            </w:r>
          </w:p>
        </w:tc>
        <w:tc>
          <w:tcPr>
            <w:tcW w:type="dxa" w:w="4153"/>
          </w:tcPr>
          <w:p>
            <w:pPr>
              <w:pStyle w:val="null3"/>
              <w:jc w:val="both"/>
            </w:pPr>
            <w:r>
              <w:rPr/>
              <w:t>根据投标人所投产品“测向接收机”指标“宽带测向”进行评审。 测向接收机具备在一定中频测向宽带内捕获此带宽内的N个脉冲信号（发射间隔1MHz，周期是1秒，脉宽为3ms）的能力。①具备N≥70个脉冲信号的捕获能力，得3分；②具备N≥60个脉冲信号的捕获能力，得2分；③具备N≥40个脉冲信号的捕获能力，得1分；其他不得分。 投标人需提供由国家认可的检测机构出具的具有CMA或CNAS标识的检测报告作为佐证，否则不得分。</w:t>
            </w:r>
          </w:p>
        </w:tc>
      </w:tr>
      <w:tr>
        <w:tc>
          <w:tcPr>
            <w:tcW w:type="dxa" w:w="3322"/>
          </w:tcPr>
          <w:p>
            <w:pPr>
              <w:pStyle w:val="null3"/>
              <w:jc w:val="both"/>
            </w:pPr>
            <w:r>
              <w:rPr/>
              <w:t>短时信号捕获能力</w:t>
            </w:r>
          </w:p>
        </w:tc>
        <w:tc>
          <w:tcPr>
            <w:tcW w:type="dxa" w:w="831"/>
          </w:tcPr>
          <w:p>
            <w:pPr>
              <w:pStyle w:val="null3"/>
              <w:jc w:val="right"/>
            </w:pPr>
            <w:r>
              <w:rPr/>
              <w:t>3.0000</w:t>
            </w:r>
          </w:p>
        </w:tc>
        <w:tc>
          <w:tcPr>
            <w:tcW w:type="dxa" w:w="4153"/>
          </w:tcPr>
          <w:p>
            <w:pPr>
              <w:pStyle w:val="null3"/>
              <w:jc w:val="both"/>
            </w:pPr>
            <w:r>
              <w:rPr/>
              <w:t>根据投标人所投产品“监测接收机”的“短时信号捕获能力”进行评审，具备对不同脉宽的短时信号频率和电平监测能力，监测接收机能够捕获到周期为100ms的短时脉宽信号(测量值与射频信号功率误差≤3dB)，对100%POI（100%截获最短信号时长）参数由评委进行评审。 ①捕获≤1μs脉宽信号得3分，②捕获≤5μs脉宽信号得2分，③捕获≤25μs脉宽信号得1分，其他不得分。 投标人需提供由国家认可检测机构出具的具有CMA或CNAS标识的测试报告作为佐证，否则不得分。</w:t>
            </w:r>
          </w:p>
        </w:tc>
      </w:tr>
      <w:tr>
        <w:tc>
          <w:tcPr>
            <w:tcW w:type="dxa" w:w="3322"/>
          </w:tcPr>
          <w:p>
            <w:pPr>
              <w:pStyle w:val="null3"/>
              <w:jc w:val="both"/>
            </w:pPr>
            <w:r>
              <w:rPr/>
              <w:t>历史回频谱信号溯能力</w:t>
            </w:r>
          </w:p>
        </w:tc>
        <w:tc>
          <w:tcPr>
            <w:tcW w:type="dxa" w:w="831"/>
          </w:tcPr>
          <w:p>
            <w:pPr>
              <w:pStyle w:val="null3"/>
              <w:jc w:val="right"/>
            </w:pPr>
            <w:r>
              <w:rPr/>
              <w:t>3.0000</w:t>
            </w:r>
          </w:p>
        </w:tc>
        <w:tc>
          <w:tcPr>
            <w:tcW w:type="dxa" w:w="4153"/>
          </w:tcPr>
          <w:p>
            <w:pPr>
              <w:pStyle w:val="null3"/>
              <w:jc w:val="both"/>
            </w:pPr>
            <w:r>
              <w:rPr/>
              <w:t>根据投标人所投产品“监测接收机”的“历史频谱信号回溯能力”进行评审，接收机内部具备实时历史频谱信号回溯功能，能够满足对瞬态、跳频信号的测量需求。 ①可以回溯时长不少于30s且不高于1μs步进回放查看的，得3分，②可以回溯时长不少于30s且不高于10μs步进回放查看的，得2分，③可以回溯时长不少于30s且不高于100μs步进回放查看的，得1分，其他不得分 投标人需提供由国家认可检测机构出具的具有CMA或CNAS标识的测试报告作为佐证，否则不得分。</w:t>
            </w:r>
          </w:p>
        </w:tc>
      </w:tr>
      <w:tr>
        <w:tc>
          <w:tcPr>
            <w:tcW w:type="dxa" w:w="3322"/>
          </w:tcPr>
          <w:p>
            <w:pPr>
              <w:pStyle w:val="null3"/>
              <w:jc w:val="both"/>
            </w:pPr>
            <w:r>
              <w:rPr/>
              <w:t>车辆改装方案</w:t>
            </w:r>
          </w:p>
        </w:tc>
        <w:tc>
          <w:tcPr>
            <w:tcW w:type="dxa" w:w="831"/>
          </w:tcPr>
          <w:p>
            <w:pPr>
              <w:pStyle w:val="null3"/>
              <w:jc w:val="right"/>
            </w:pPr>
            <w:r>
              <w:rPr/>
              <w:t>3.0000</w:t>
            </w:r>
          </w:p>
        </w:tc>
        <w:tc>
          <w:tcPr>
            <w:tcW w:type="dxa" w:w="4153"/>
          </w:tcPr>
          <w:p>
            <w:pPr>
              <w:pStyle w:val="null3"/>
              <w:jc w:val="both"/>
            </w:pPr>
            <w:r>
              <w:rPr/>
              <w:t>根据各投标人针对本项目所投车辆改装技术方案（包括但不限于车辆改装后的整体结构图、多角度三维立体彩色渲染效果图、双席位协同操作实景渲染图、系统整体电原理框图及连线图，详细列出设备配置清单，以及车辆载荷、配重和电源技术说明），由评委进行评分：①方案包含的要点齐全无缺漏项、内容与要点相符、要点阐述详实完善且为双席位操作的得3分；②方案所包含的要点齐全、内容与要点相符，但仅有要点未展开详细阐述且为双席位操作的得2分；③方案所包含的要点有缺漏的得1分；④方案与本项目需求不相关、有重大欠缺、或未提供的不得分。</w:t>
            </w:r>
          </w:p>
        </w:tc>
      </w:tr>
      <w:tr>
        <w:tc>
          <w:tcPr>
            <w:tcW w:type="dxa" w:w="3322"/>
          </w:tcPr>
          <w:p>
            <w:pPr>
              <w:pStyle w:val="null3"/>
              <w:jc w:val="both"/>
            </w:pPr>
            <w:r>
              <w:rPr/>
              <w:t>系统管控能力</w:t>
            </w:r>
          </w:p>
        </w:tc>
        <w:tc>
          <w:tcPr>
            <w:tcW w:type="dxa" w:w="831"/>
          </w:tcPr>
          <w:p>
            <w:pPr>
              <w:pStyle w:val="null3"/>
              <w:jc w:val="right"/>
            </w:pPr>
            <w:r>
              <w:rPr/>
              <w:t>3.0000</w:t>
            </w:r>
          </w:p>
        </w:tc>
        <w:tc>
          <w:tcPr>
            <w:tcW w:type="dxa" w:w="4153"/>
          </w:tcPr>
          <w:p>
            <w:pPr>
              <w:pStyle w:val="null3"/>
              <w:jc w:val="both"/>
            </w:pPr>
            <w:r>
              <w:rPr/>
              <w:t>投标人所投软件符合超短波监测管理一体化平台标准规范，提供由国家认可检测机构出具的具有CMA或CNAS标识的管控系统能力测试报告得3分（检测标准：YD/T3700-2020《超短波监测管理一体化平台技术规范》。未提供或不满足的不得分。</w:t>
            </w:r>
          </w:p>
        </w:tc>
      </w:tr>
    </w:tbl>
    <w:p>
      <w:pPr>
        <w:pStyle w:val="null3"/>
        <w:jc w:val="both"/>
      </w:pPr>
      <w:r>
        <w:rPr/>
        <w:t>商务项（F3×A3）满分为14.0000分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满意度</w:t>
            </w:r>
          </w:p>
        </w:tc>
        <w:tc>
          <w:tcPr>
            <w:tcW w:type="dxa" w:w="831"/>
          </w:tcPr>
          <w:p>
            <w:pPr>
              <w:pStyle w:val="null3"/>
              <w:jc w:val="right"/>
            </w:pPr>
            <w:r>
              <w:rPr/>
              <w:t>3.0000</w:t>
            </w:r>
          </w:p>
        </w:tc>
        <w:tc>
          <w:tcPr>
            <w:tcW w:type="dxa" w:w="4153"/>
          </w:tcPr>
          <w:p>
            <w:pPr>
              <w:pStyle w:val="null3"/>
              <w:jc w:val="both"/>
            </w:pPr>
            <w:r>
              <w:rPr/>
              <w:t>根据各投标人所提供的自2022年1月1日（以合同签订时间为准）至今，由投标人独立完成的与本项目同类（无线电监测移动站建设项目）的业主满意度评价（满意度指：评价为好、优、满意或90分以上等同档次评价，或表扬信等）情况进行评审：每提供1份有效满意度评价得0.5分，满分3分。 投标人须提供该项目的中标公告（提供相关网站中标公告的下载网页并注明网址）、中标通知书、采购合同以及由业主单位出具的满意度评价证明材料。所有材料缺一不可，否则不得分。 注：本评审项与“2.业绩”同项目不得重复得分。</w:t>
            </w:r>
          </w:p>
        </w:tc>
      </w:tr>
      <w:tr>
        <w:tc>
          <w:tcPr>
            <w:tcW w:type="dxa" w:w="3322"/>
          </w:tcPr>
          <w:p>
            <w:pPr>
              <w:pStyle w:val="null3"/>
              <w:jc w:val="both"/>
            </w:pPr>
            <w:r>
              <w:rPr/>
              <w:t>业绩</w:t>
            </w:r>
          </w:p>
        </w:tc>
        <w:tc>
          <w:tcPr>
            <w:tcW w:type="dxa" w:w="831"/>
          </w:tcPr>
          <w:p>
            <w:pPr>
              <w:pStyle w:val="null3"/>
              <w:jc w:val="right"/>
            </w:pPr>
            <w:r>
              <w:rPr/>
              <w:t>3.0000</w:t>
            </w:r>
          </w:p>
        </w:tc>
        <w:tc>
          <w:tcPr>
            <w:tcW w:type="dxa" w:w="4153"/>
          </w:tcPr>
          <w:p>
            <w:pPr>
              <w:pStyle w:val="null3"/>
              <w:jc w:val="both"/>
            </w:pPr>
            <w:r>
              <w:rPr/>
              <w:t>根据各投标人所提供的自2022年1月1日（以合同签订时间为准）至今，由投标人独立完成的与本项目同类(无线电监测移动站建设项目)的业绩情况进行评审，每提供1份业绩得0.5分，满分3分。 投标人须提供该业绩项目的中标公告（提供相关网站中标公告的下载网页并注明网址）、中标通知书、采购合同文本扫描件，所有材料缺一不可，否则不得分。 注：本评审项与“1.满意度”同项目不得重复得分。</w:t>
            </w:r>
          </w:p>
        </w:tc>
      </w:tr>
      <w:tr>
        <w:tc>
          <w:tcPr>
            <w:tcW w:type="dxa" w:w="3322"/>
          </w:tcPr>
          <w:p>
            <w:pPr>
              <w:pStyle w:val="null3"/>
              <w:jc w:val="both"/>
            </w:pPr>
            <w:r>
              <w:rPr/>
              <w:t>项目实施团队</w:t>
            </w:r>
          </w:p>
        </w:tc>
        <w:tc>
          <w:tcPr>
            <w:tcW w:type="dxa" w:w="831"/>
          </w:tcPr>
          <w:p>
            <w:pPr>
              <w:pStyle w:val="null3"/>
              <w:jc w:val="right"/>
            </w:pPr>
            <w:r>
              <w:rPr/>
              <w:t>3.0000</w:t>
            </w:r>
          </w:p>
        </w:tc>
        <w:tc>
          <w:tcPr>
            <w:tcW w:type="dxa" w:w="4153"/>
          </w:tcPr>
          <w:p>
            <w:pPr>
              <w:pStyle w:val="null3"/>
              <w:jc w:val="both"/>
            </w:pPr>
            <w:r>
              <w:rPr/>
              <w:t>根据投标人针对本项目配置的项目管理人员进行能力评审，①人员具有系统分析师证书的，得1分，最高1分；②每提供1名人员具有系统集成项目管理工程师证书的得1分，最高得2分； 投标人须提供人员证书扫描件、身份证扫描件、投标截止时间前六个月（不含投标截止时间的当月）中任一月份的投标单位为其缴纳的社会保障资金缴纳凭据复印件并加盖投标人公章，未提供不得分。</w:t>
            </w:r>
          </w:p>
        </w:tc>
      </w:tr>
      <w:tr>
        <w:tc>
          <w:tcPr>
            <w:tcW w:type="dxa" w:w="3322"/>
          </w:tcPr>
          <w:p>
            <w:pPr>
              <w:pStyle w:val="null3"/>
              <w:jc w:val="both"/>
            </w:pPr>
            <w:r>
              <w:rPr/>
              <w:t>售后服务情况</w:t>
            </w:r>
          </w:p>
        </w:tc>
        <w:tc>
          <w:tcPr>
            <w:tcW w:type="dxa" w:w="831"/>
          </w:tcPr>
          <w:p>
            <w:pPr>
              <w:pStyle w:val="null3"/>
              <w:jc w:val="right"/>
            </w:pPr>
            <w:r>
              <w:rPr/>
              <w:t>2.0000</w:t>
            </w:r>
          </w:p>
        </w:tc>
        <w:tc>
          <w:tcPr>
            <w:tcW w:type="dxa" w:w="4153"/>
          </w:tcPr>
          <w:p>
            <w:pPr>
              <w:pStyle w:val="null3"/>
              <w:jc w:val="both"/>
            </w:pPr>
            <w:r>
              <w:rPr/>
              <w:t>根据投标人提供售后支持技术人员、故障响应时间、退返检测和维修期限、以旧换新、备品备件、巡检、技术支持等内容在内的维保方案进行评审。维保方案中包括： ①对于产品故障的响应时间、负责人员、保障举措；②退返检测和维修流程，内控制度、完成时限；满足两点的得2分，满足一点的得1分，未满足的不得分。 投标人需提供包括售后支持技术人员、故障响应时间、退返检测和维修期限、以旧换新、备品备件、巡检、技术支持等内容在内的维保方案，格式自拟。</w:t>
            </w:r>
          </w:p>
        </w:tc>
      </w:tr>
      <w:tr>
        <w:tc>
          <w:tcPr>
            <w:tcW w:type="dxa" w:w="3322"/>
          </w:tcPr>
          <w:p>
            <w:pPr>
              <w:pStyle w:val="null3"/>
              <w:jc w:val="both"/>
            </w:pPr>
            <w:r>
              <w:rPr/>
              <w:t>资质情况</w:t>
            </w:r>
          </w:p>
        </w:tc>
        <w:tc>
          <w:tcPr>
            <w:tcW w:type="dxa" w:w="831"/>
          </w:tcPr>
          <w:p>
            <w:pPr>
              <w:pStyle w:val="null3"/>
              <w:jc w:val="right"/>
            </w:pPr>
            <w:r>
              <w:rPr/>
              <w:t>3.0000</w:t>
            </w:r>
          </w:p>
        </w:tc>
        <w:tc>
          <w:tcPr>
            <w:tcW w:type="dxa" w:w="4153"/>
          </w:tcPr>
          <w:p>
            <w:pPr>
              <w:pStyle w:val="null3"/>
              <w:jc w:val="both"/>
            </w:pPr>
            <w:r>
              <w:rPr/>
              <w:t>根据投标人提供的本项目“监测测向系统”检测维修校准的资质进行评审：投标人或所投监测测向系统主设备制造商具有以下资质：①无线电设备检测； ②无线电设备维修； ③无线电设备校准。以上3项内容需提供CNAS或质量体系认证证书，否则不予认可。提供3项资质的得3分，提供2项的得2分，提供1项的得1分，未提供的不得分。 注：须提供证书扫描件并加盖投标人公章，证书需在有效期内，否则不得分。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0"/>
        </w:rPr>
        <w:t>厦门市原有</w:t>
      </w:r>
      <w:r>
        <w:rPr>
          <w:rFonts w:ascii="宋体" w:hAnsi="宋体" w:cs="宋体" w:eastAsia="宋体"/>
          <w:sz w:val="20"/>
        </w:rPr>
        <w:t>1个移动监测站2008年购置，车型为尼桑 ZN6452WAD，2016年简单改装后搭载便携式监测设备DDF007 和天线ADD107+ADD207，存在车辆状况较差、工作频率覆盖范围窄、扫描速度慢等问题，技术指标远低于现行的国家要求，硬件技术指标落后，信号分析能力弱，无法满足当前监测工作需求，保障能力弱。本项目拟将原车及设备报废，重新购置1辆车辆，并以此车为基础购置全新设备1套并改装，建成符合《省级无线电监测设施建设规范和技术要求（试行）》（国无办函〔2019〕3号）要求的二类移动监测站。</w:t>
      </w:r>
    </w:p>
    <w:p>
      <w:pPr>
        <w:pStyle w:val="null3"/>
        <w:ind w:firstLine="200"/>
        <w:jc w:val="both"/>
        <w:outlineLvl w:val="2"/>
      </w:pPr>
      <w:r>
        <w:rPr>
          <w:sz w:val="28"/>
          <w:b/>
        </w:rPr>
        <w:t>二、技术和服务要求（以“★”标示的内容为不允许负偏离的实质性要求）</w:t>
      </w:r>
    </w:p>
    <w:p>
      <w:pPr>
        <w:pStyle w:val="null3"/>
        <w:ind w:firstLine="480"/>
        <w:jc w:val="both"/>
      </w:pPr>
      <w:r>
        <w:rPr>
          <w:rFonts w:ascii="宋体" w:hAnsi="宋体" w:cs="宋体" w:eastAsia="宋体"/>
          <w:sz w:val="20"/>
        </w:rPr>
        <w:t>（</w:t>
      </w:r>
      <w:r>
        <w:rPr>
          <w:rFonts w:ascii="宋体" w:hAnsi="宋体" w:cs="宋体" w:eastAsia="宋体"/>
          <w:sz w:val="20"/>
        </w:rPr>
        <w:t>一</w:t>
      </w:r>
      <w:r>
        <w:rPr>
          <w:rFonts w:ascii="宋体" w:hAnsi="宋体" w:cs="宋体" w:eastAsia="宋体"/>
          <w:sz w:val="20"/>
        </w:rPr>
        <w:t>）</w:t>
      </w:r>
      <w:r>
        <w:rPr>
          <w:rFonts w:ascii="宋体" w:hAnsi="宋体" w:cs="宋体" w:eastAsia="宋体"/>
          <w:sz w:val="20"/>
        </w:rPr>
        <w:t>★</w:t>
      </w:r>
      <w:r>
        <w:rPr>
          <w:rFonts w:ascii="宋体" w:hAnsi="宋体" w:cs="宋体" w:eastAsia="宋体"/>
          <w:sz w:val="20"/>
          <w:b/>
        </w:rPr>
        <w:t>项目配置清单（最低配置要求）（需提供专项承诺）</w:t>
      </w:r>
    </w:p>
    <w:tbl>
      <w:tblPr>
        <w:tblW w:w="0" w:type="auto"/>
        <w:tblBorders>
          <w:top w:val="none" w:color="000000" w:sz="4"/>
          <w:left w:val="none" w:color="000000" w:sz="4"/>
          <w:bottom w:val="none" w:color="000000" w:sz="4"/>
          <w:right w:val="none" w:color="000000" w:sz="4"/>
          <w:insideH w:val="none"/>
          <w:insideV w:val="none"/>
        </w:tblBorders>
      </w:tblPr>
      <w:tblGrid>
        <w:gridCol w:w="599"/>
        <w:gridCol w:w="2437"/>
        <w:gridCol w:w="3948"/>
        <w:gridCol w:w="612"/>
        <w:gridCol w:w="680"/>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2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设备名称</w:t>
            </w:r>
          </w:p>
        </w:tc>
        <w:tc>
          <w:tcPr>
            <w:tcW w:type="dxa" w:w="3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规格程式</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数量</w:t>
            </w:r>
          </w:p>
        </w:tc>
      </w:tr>
      <w:tr>
        <w:tc>
          <w:tcPr>
            <w:tcW w:type="dxa" w:w="827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一、监测测向天馈系统</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1</w:t>
            </w:r>
          </w:p>
        </w:tc>
        <w:tc>
          <w:tcPr>
            <w:tcW w:type="dxa" w:w="2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监测测向天线</w:t>
            </w:r>
          </w:p>
        </w:tc>
        <w:tc>
          <w:tcPr>
            <w:tcW w:type="dxa" w:w="3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测向频段：</w:t>
            </w:r>
            <w:r>
              <w:rPr>
                <w:rFonts w:ascii="宋体" w:hAnsi="宋体" w:cs="宋体" w:eastAsia="宋体"/>
                <w:sz w:val="20"/>
              </w:rPr>
              <w:t>20MHz-6GHz（垂直极化）；</w:t>
            </w:r>
          </w:p>
          <w:p>
            <w:pPr>
              <w:pStyle w:val="null3"/>
              <w:jc w:val="both"/>
            </w:pPr>
            <w:r>
              <w:rPr>
                <w:rFonts w:ascii="宋体" w:hAnsi="宋体" w:cs="宋体" w:eastAsia="宋体"/>
                <w:sz w:val="20"/>
              </w:rPr>
              <w:t xml:space="preserve">          </w:t>
            </w:r>
            <w:r>
              <w:rPr>
                <w:rFonts w:ascii="宋体" w:hAnsi="宋体" w:cs="宋体" w:eastAsia="宋体"/>
                <w:sz w:val="20"/>
              </w:rPr>
              <w:t>40～1300MHz（水平极化）；</w:t>
            </w:r>
          </w:p>
          <w:p>
            <w:pPr>
              <w:pStyle w:val="null3"/>
              <w:jc w:val="both"/>
            </w:pPr>
            <w:r>
              <w:rPr>
                <w:rFonts w:ascii="宋体" w:hAnsi="宋体" w:cs="宋体" w:eastAsia="宋体"/>
                <w:sz w:val="20"/>
              </w:rPr>
              <w:t>监测频段：</w:t>
            </w:r>
            <w:r>
              <w:rPr>
                <w:rFonts w:ascii="宋体" w:hAnsi="宋体" w:cs="宋体" w:eastAsia="宋体"/>
                <w:sz w:val="20"/>
              </w:rPr>
              <w:t>20MHz-8GHz。</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2</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SHF频段监测天线</w:t>
            </w:r>
          </w:p>
        </w:tc>
        <w:tc>
          <w:tcPr>
            <w:tcW w:type="dxa" w:w="3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监测频段：</w:t>
            </w:r>
            <w:r>
              <w:rPr>
                <w:rFonts w:ascii="宋体" w:hAnsi="宋体" w:cs="宋体" w:eastAsia="宋体"/>
                <w:sz w:val="20"/>
              </w:rPr>
              <w:t>8GHz-18GHz。</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副</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微波测向天线</w:t>
            </w:r>
          </w:p>
        </w:tc>
        <w:tc>
          <w:tcPr>
            <w:tcW w:type="dxa" w:w="3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测向频段：</w:t>
            </w:r>
            <w:r>
              <w:rPr>
                <w:rFonts w:ascii="宋体" w:hAnsi="宋体" w:cs="宋体" w:eastAsia="宋体"/>
                <w:sz w:val="20"/>
              </w:rPr>
              <w:t>6GHz～18GHz（垂直极化）</w:t>
            </w:r>
          </w:p>
          <w:p>
            <w:pPr>
              <w:pStyle w:val="null3"/>
              <w:jc w:val="both"/>
            </w:pPr>
            <w:r>
              <w:rPr>
                <w:rFonts w:ascii="宋体" w:hAnsi="宋体" w:cs="宋体" w:eastAsia="宋体"/>
                <w:sz w:val="20"/>
              </w:rPr>
              <w:t>天线模式：无源；</w:t>
            </w:r>
          </w:p>
          <w:p>
            <w:pPr>
              <w:pStyle w:val="null3"/>
              <w:jc w:val="both"/>
            </w:pPr>
            <w:r>
              <w:rPr>
                <w:rFonts w:ascii="宋体" w:hAnsi="宋体" w:cs="宋体" w:eastAsia="宋体"/>
                <w:sz w:val="20"/>
              </w:rPr>
              <w:t>测向模式：比幅式测向或其它更先进模式。</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4</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配套附件</w:t>
            </w:r>
          </w:p>
        </w:tc>
        <w:tc>
          <w:tcPr>
            <w:tcW w:type="dxa" w:w="3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包括配套线缆、安装支架、避雷器和配套安装装置及适配器等。</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67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二、监测测向系统主设备</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1</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◆监测接收机（核心产品）</w:t>
            </w:r>
          </w:p>
        </w:tc>
        <w:tc>
          <w:tcPr>
            <w:tcW w:type="dxa" w:w="3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频率范围：</w:t>
            </w:r>
            <w:r>
              <w:rPr>
                <w:rFonts w:ascii="宋体" w:hAnsi="宋体" w:cs="宋体" w:eastAsia="宋体"/>
                <w:sz w:val="20"/>
              </w:rPr>
              <w:t>20MHz～18GHz。</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2</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◆测向接收机（核心产品）</w:t>
            </w:r>
          </w:p>
        </w:tc>
        <w:tc>
          <w:tcPr>
            <w:tcW w:type="dxa" w:w="3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频率范围：</w:t>
            </w:r>
            <w:r>
              <w:rPr>
                <w:rFonts w:ascii="宋体" w:hAnsi="宋体" w:cs="宋体" w:eastAsia="宋体"/>
                <w:sz w:val="20"/>
              </w:rPr>
              <w:t>20MHz～6GHz。</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台</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67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三、配套设备</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1</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监测测向系统软件</w:t>
            </w:r>
          </w:p>
        </w:tc>
        <w:tc>
          <w:tcPr>
            <w:tcW w:type="dxa" w:w="3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2</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系统管理控制单元</w:t>
            </w:r>
          </w:p>
        </w:tc>
        <w:tc>
          <w:tcPr>
            <w:tcW w:type="dxa" w:w="3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包括数据处理平台和网络数据交换单元等。</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3</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供电系统</w:t>
            </w:r>
          </w:p>
        </w:tc>
        <w:tc>
          <w:tcPr>
            <w:tcW w:type="dxa" w:w="3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包括电池组，电源控制系统等。</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4</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控制终端</w:t>
            </w:r>
          </w:p>
        </w:tc>
        <w:tc>
          <w:tcPr>
            <w:tcW w:type="dxa" w:w="3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显示屏不低于</w:t>
            </w:r>
            <w:r>
              <w:rPr>
                <w:rFonts w:ascii="宋体" w:hAnsi="宋体" w:cs="宋体" w:eastAsia="宋体"/>
                <w:sz w:val="20"/>
              </w:rPr>
              <w:t>13寸。</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5</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底盘车辆</w:t>
            </w:r>
          </w:p>
        </w:tc>
        <w:tc>
          <w:tcPr>
            <w:tcW w:type="dxa" w:w="3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辆</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6</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车辆改装集成</w:t>
            </w:r>
          </w:p>
        </w:tc>
        <w:tc>
          <w:tcPr>
            <w:tcW w:type="dxa" w:w="3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包括车顶平台与天线罩、防雷、尾部机柜、综控面板、改装设计、布线方案、灭火器、电缆盘、集成服务等。</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套</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7</w:t>
            </w:r>
          </w:p>
        </w:tc>
        <w:tc>
          <w:tcPr>
            <w:tcW w:type="dxa" w:w="2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其他设备（如有请列明，例如专项监测设备等）</w:t>
            </w:r>
          </w:p>
        </w:tc>
        <w:tc>
          <w:tcPr>
            <w:tcW w:type="dxa" w:w="3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项</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r>
    </w:tbl>
    <w:p>
      <w:pPr>
        <w:pStyle w:val="null3"/>
        <w:ind w:firstLine="480"/>
        <w:jc w:val="both"/>
      </w:pPr>
      <w:r>
        <w:rPr>
          <w:rFonts w:ascii="宋体" w:hAnsi="宋体" w:cs="宋体" w:eastAsia="宋体"/>
          <w:sz w:val="20"/>
        </w:rPr>
        <w:t>投标人须以配置清单为基础进行分项报价并附在报价文件内，方便后期结算。其他诸如勘查、设计、施工、检测、测试、交通、运输、验收等所有配套费用均包含在投标总价中并摊入设备清单，不得单列。</w:t>
      </w:r>
    </w:p>
    <w:p>
      <w:pPr>
        <w:pStyle w:val="null3"/>
        <w:jc w:val="both"/>
      </w:pPr>
      <w:r>
        <w:rPr>
          <w:rFonts w:ascii="宋体" w:hAnsi="宋体" w:cs="宋体" w:eastAsia="宋体"/>
          <w:sz w:val="20"/>
          <w:b/>
        </w:rPr>
        <w:t>★（</w:t>
      </w:r>
      <w:r>
        <w:rPr>
          <w:rFonts w:ascii="宋体" w:hAnsi="宋体" w:cs="宋体" w:eastAsia="宋体"/>
          <w:sz w:val="20"/>
          <w:b/>
        </w:rPr>
        <w:t>二</w:t>
      </w:r>
      <w:r>
        <w:rPr>
          <w:rFonts w:ascii="宋体" w:hAnsi="宋体" w:cs="宋体" w:eastAsia="宋体"/>
          <w:sz w:val="20"/>
          <w:b/>
        </w:rPr>
        <w:t>）项目建设内容（需提供专项承诺）</w:t>
      </w:r>
    </w:p>
    <w:p>
      <w:pPr>
        <w:pStyle w:val="null3"/>
        <w:ind w:firstLine="480"/>
        <w:jc w:val="both"/>
      </w:pPr>
      <w:r>
        <w:rPr>
          <w:rFonts w:ascii="宋体" w:hAnsi="宋体" w:cs="宋体" w:eastAsia="宋体"/>
          <w:sz w:val="20"/>
        </w:rPr>
        <w:t>1.通过本项目更新二类移动监测站1套，同时购置车载平台1套进行集成改装。指标功能不低于《省级无线电监测设施建设规范和技术要求（试行）》规定的二类移动监测站指标和功能要求。</w:t>
      </w:r>
    </w:p>
    <w:p>
      <w:pPr>
        <w:pStyle w:val="null3"/>
        <w:ind w:firstLine="480"/>
        <w:jc w:val="both"/>
      </w:pPr>
      <w:r>
        <w:rPr>
          <w:rFonts w:ascii="宋体" w:hAnsi="宋体" w:cs="宋体" w:eastAsia="宋体"/>
          <w:sz w:val="20"/>
        </w:rPr>
        <w:t>2.本项目监测测向系统应进行原子化服务封装，实现无线电监测设施联网，并能够接入到福建省无线电管理一体化平台，与福建省无线电管理一体化平台管控系统实现平滑顺畅对接及调控。</w:t>
      </w:r>
    </w:p>
    <w:p>
      <w:pPr>
        <w:pStyle w:val="null3"/>
        <w:ind w:firstLine="480"/>
        <w:jc w:val="both"/>
      </w:pPr>
      <w:r>
        <w:rPr>
          <w:rFonts w:ascii="宋体" w:hAnsi="宋体" w:cs="宋体" w:eastAsia="宋体"/>
          <w:sz w:val="20"/>
        </w:rPr>
        <w:t>3.移动监测站需针对设备装车的特点，充分考虑车辆配重、行驶安全、抗颠防震、电磁兼容、操作便利、维护方便等多种要求，并保证车辆改装后车辆各类机械性能、电气性能等符合国家标准。</w:t>
      </w:r>
    </w:p>
    <w:p>
      <w:pPr>
        <w:pStyle w:val="null3"/>
        <w:ind w:firstLine="482"/>
        <w:jc w:val="both"/>
      </w:pPr>
      <w:r>
        <w:rPr>
          <w:rFonts w:ascii="宋体" w:hAnsi="宋体" w:cs="宋体" w:eastAsia="宋体"/>
          <w:sz w:val="20"/>
          <w:b/>
        </w:rPr>
        <w:t>（</w:t>
      </w:r>
      <w:r>
        <w:rPr>
          <w:rFonts w:ascii="宋体" w:hAnsi="宋体" w:cs="宋体" w:eastAsia="宋体"/>
          <w:sz w:val="20"/>
          <w:b/>
        </w:rPr>
        <w:t>三</w:t>
      </w:r>
      <w:r>
        <w:rPr>
          <w:rFonts w:ascii="宋体" w:hAnsi="宋体" w:cs="宋体" w:eastAsia="宋体"/>
          <w:sz w:val="20"/>
          <w:b/>
        </w:rPr>
        <w:t>）项目建设依据</w:t>
      </w:r>
    </w:p>
    <w:p>
      <w:pPr>
        <w:pStyle w:val="null3"/>
        <w:ind w:firstLine="480"/>
        <w:jc w:val="both"/>
      </w:pPr>
      <w:r>
        <w:rPr>
          <w:rFonts w:ascii="宋体" w:hAnsi="宋体" w:cs="宋体" w:eastAsia="宋体"/>
          <w:sz w:val="20"/>
        </w:rPr>
        <w:t>本项目符合国家相关规划和技术标准，依据以下规划、标准进行项目的总体设计、建设和实施。</w:t>
      </w:r>
    </w:p>
    <w:p>
      <w:pPr>
        <w:pStyle w:val="null3"/>
        <w:ind w:firstLine="480"/>
        <w:jc w:val="both"/>
      </w:pPr>
      <w:r>
        <w:rPr>
          <w:rFonts w:ascii="宋体" w:hAnsi="宋体" w:cs="宋体" w:eastAsia="宋体"/>
          <w:sz w:val="20"/>
        </w:rPr>
        <w:t>（</w:t>
      </w:r>
      <w:r>
        <w:rPr>
          <w:rFonts w:ascii="宋体" w:hAnsi="宋体" w:cs="宋体" w:eastAsia="宋体"/>
          <w:sz w:val="20"/>
        </w:rPr>
        <w:t>1）《中华人民共和国无线电管理条例》；</w:t>
      </w:r>
    </w:p>
    <w:p>
      <w:pPr>
        <w:pStyle w:val="null3"/>
        <w:ind w:firstLine="480"/>
        <w:jc w:val="both"/>
      </w:pPr>
      <w:r>
        <w:rPr>
          <w:rFonts w:ascii="宋体" w:hAnsi="宋体" w:cs="宋体" w:eastAsia="宋体"/>
          <w:sz w:val="20"/>
        </w:rPr>
        <w:t>（</w:t>
      </w:r>
      <w:r>
        <w:rPr>
          <w:rFonts w:ascii="宋体" w:hAnsi="宋体" w:cs="宋体" w:eastAsia="宋体"/>
          <w:sz w:val="20"/>
        </w:rPr>
        <w:t>2）《省级无线电监测设施建设规范和技术要求（试行）》；</w:t>
      </w:r>
    </w:p>
    <w:p>
      <w:pPr>
        <w:pStyle w:val="null3"/>
        <w:ind w:firstLine="480"/>
        <w:jc w:val="both"/>
      </w:pPr>
      <w:r>
        <w:rPr>
          <w:rFonts w:ascii="宋体" w:hAnsi="宋体" w:cs="宋体" w:eastAsia="宋体"/>
          <w:sz w:val="20"/>
        </w:rPr>
        <w:t>（</w:t>
      </w:r>
      <w:r>
        <w:rPr>
          <w:rFonts w:ascii="宋体" w:hAnsi="宋体" w:cs="宋体" w:eastAsia="宋体"/>
          <w:sz w:val="20"/>
        </w:rPr>
        <w:t>3）《无线电管理基础和技术设施建设项目管理指导意见》；</w:t>
      </w:r>
    </w:p>
    <w:p>
      <w:pPr>
        <w:pStyle w:val="null3"/>
        <w:ind w:firstLine="480"/>
        <w:jc w:val="both"/>
      </w:pPr>
      <w:r>
        <w:rPr>
          <w:rFonts w:ascii="宋体" w:hAnsi="宋体" w:cs="宋体" w:eastAsia="宋体"/>
          <w:sz w:val="20"/>
        </w:rPr>
        <w:t>（</w:t>
      </w:r>
      <w:r>
        <w:rPr>
          <w:rFonts w:ascii="宋体" w:hAnsi="宋体" w:cs="宋体" w:eastAsia="宋体"/>
          <w:sz w:val="20"/>
        </w:rPr>
        <w:t>4）《频谱监测手册》国际电联（ITU）；</w:t>
      </w:r>
    </w:p>
    <w:p>
      <w:pPr>
        <w:pStyle w:val="null3"/>
        <w:ind w:firstLine="480"/>
        <w:jc w:val="both"/>
      </w:pPr>
      <w:r>
        <w:rPr>
          <w:rFonts w:ascii="宋体" w:hAnsi="宋体" w:cs="宋体" w:eastAsia="宋体"/>
          <w:sz w:val="20"/>
        </w:rPr>
        <w:t>（</w:t>
      </w:r>
      <w:r>
        <w:rPr>
          <w:rFonts w:ascii="宋体" w:hAnsi="宋体" w:cs="宋体" w:eastAsia="宋体"/>
          <w:sz w:val="20"/>
        </w:rPr>
        <w:t>5）YD/T3699-2020《无线电管理一体化平台体系架构及应用规范》；</w:t>
      </w:r>
    </w:p>
    <w:p>
      <w:pPr>
        <w:pStyle w:val="null3"/>
        <w:ind w:firstLine="480"/>
        <w:jc w:val="both"/>
      </w:pPr>
      <w:r>
        <w:rPr>
          <w:rFonts w:ascii="宋体" w:hAnsi="宋体" w:cs="宋体" w:eastAsia="宋体"/>
          <w:sz w:val="20"/>
        </w:rPr>
        <w:t>（</w:t>
      </w:r>
      <w:r>
        <w:rPr>
          <w:rFonts w:ascii="宋体" w:hAnsi="宋体" w:cs="宋体" w:eastAsia="宋体"/>
          <w:sz w:val="20"/>
        </w:rPr>
        <w:t>6）YD/T3700-2020《超短波监测管理一体化平台技术规范》</w:t>
      </w:r>
    </w:p>
    <w:p>
      <w:pPr>
        <w:pStyle w:val="null3"/>
        <w:ind w:firstLine="480"/>
        <w:jc w:val="both"/>
      </w:pPr>
      <w:r>
        <w:rPr>
          <w:rFonts w:ascii="宋体" w:hAnsi="宋体" w:cs="宋体" w:eastAsia="宋体"/>
          <w:sz w:val="20"/>
        </w:rPr>
        <w:t>（</w:t>
      </w:r>
      <w:r>
        <w:rPr>
          <w:rFonts w:ascii="宋体" w:hAnsi="宋体" w:cs="宋体" w:eastAsia="宋体"/>
          <w:sz w:val="20"/>
        </w:rPr>
        <w:t>9）GB/T 34089-2017《VHF/UHF无线电监测测向系统开场测试参数和测试方法》；</w:t>
      </w:r>
    </w:p>
    <w:p>
      <w:pPr>
        <w:pStyle w:val="null3"/>
        <w:ind w:firstLine="480"/>
        <w:jc w:val="both"/>
      </w:pPr>
      <w:r>
        <w:rPr>
          <w:rFonts w:ascii="宋体" w:hAnsi="宋体" w:cs="宋体" w:eastAsia="宋体"/>
          <w:sz w:val="20"/>
        </w:rPr>
        <w:t>（</w:t>
      </w:r>
      <w:r>
        <w:rPr>
          <w:rFonts w:ascii="宋体" w:hAnsi="宋体" w:cs="宋体" w:eastAsia="宋体"/>
          <w:sz w:val="20"/>
        </w:rPr>
        <w:t>10）GB/T 32401-2015《VHF/UHF频段无线电监测接收机技术要求及测试方法》；</w:t>
      </w:r>
    </w:p>
    <w:p>
      <w:pPr>
        <w:pStyle w:val="null3"/>
        <w:ind w:firstLine="480"/>
        <w:jc w:val="both"/>
      </w:pPr>
      <w:r>
        <w:rPr>
          <w:rFonts w:ascii="宋体" w:hAnsi="宋体" w:cs="宋体" w:eastAsia="宋体"/>
          <w:sz w:val="20"/>
        </w:rPr>
        <w:t>（</w:t>
      </w:r>
      <w:r>
        <w:rPr>
          <w:rFonts w:ascii="宋体" w:hAnsi="宋体" w:cs="宋体" w:eastAsia="宋体"/>
          <w:sz w:val="20"/>
        </w:rPr>
        <w:t>11）YD/T3811-2020《3GHz-12.75GHz频段无线电测向系统测试方法》</w:t>
      </w:r>
      <w:r>
        <w:rPr>
          <w:rFonts w:ascii="宋体" w:hAnsi="宋体" w:cs="宋体" w:eastAsia="宋体"/>
          <w:sz w:val="20"/>
        </w:rPr>
        <w:t>；</w:t>
      </w:r>
    </w:p>
    <w:p>
      <w:pPr>
        <w:pStyle w:val="null3"/>
        <w:ind w:firstLine="480"/>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2</w:t>
      </w:r>
      <w:r>
        <w:rPr>
          <w:rFonts w:ascii="宋体" w:hAnsi="宋体" w:cs="宋体" w:eastAsia="宋体"/>
          <w:sz w:val="20"/>
        </w:rPr>
        <w:t>）《福建省无线电管理</w:t>
      </w:r>
      <w:r>
        <w:rPr>
          <w:rFonts w:ascii="宋体" w:hAnsi="宋体" w:cs="宋体" w:eastAsia="宋体"/>
          <w:sz w:val="20"/>
        </w:rPr>
        <w:t>“十四五”规划》；</w:t>
      </w:r>
    </w:p>
    <w:p>
      <w:pPr>
        <w:pStyle w:val="null3"/>
        <w:ind w:firstLine="480"/>
        <w:jc w:val="both"/>
      </w:pPr>
      <w:r>
        <w:rPr>
          <w:rFonts w:ascii="宋体" w:hAnsi="宋体" w:cs="宋体" w:eastAsia="宋体"/>
          <w:sz w:val="20"/>
        </w:rPr>
        <w:t>（</w:t>
      </w:r>
      <w:r>
        <w:rPr>
          <w:rFonts w:ascii="宋体" w:hAnsi="宋体" w:cs="宋体" w:eastAsia="宋体"/>
          <w:sz w:val="20"/>
        </w:rPr>
        <w:t>1</w:t>
      </w:r>
      <w:r>
        <w:rPr>
          <w:rFonts w:ascii="宋体" w:hAnsi="宋体" w:cs="宋体" w:eastAsia="宋体"/>
          <w:sz w:val="20"/>
        </w:rPr>
        <w:t>3</w:t>
      </w:r>
      <w:r>
        <w:rPr>
          <w:rFonts w:ascii="宋体" w:hAnsi="宋体" w:cs="宋体" w:eastAsia="宋体"/>
          <w:sz w:val="20"/>
        </w:rPr>
        <w:t>）其它有关行业标准，有关专业技术规程、规范。</w:t>
      </w:r>
    </w:p>
    <w:p>
      <w:pPr>
        <w:pStyle w:val="null3"/>
        <w:ind w:firstLine="480"/>
        <w:jc w:val="both"/>
      </w:pPr>
      <w:r>
        <w:rPr>
          <w:rFonts w:ascii="宋体" w:hAnsi="宋体" w:cs="宋体" w:eastAsia="宋体"/>
          <w:sz w:val="20"/>
        </w:rPr>
        <w:t>注：上述标准有出现最新标准的按最新标准执行。</w:t>
      </w:r>
    </w:p>
    <w:p>
      <w:pPr>
        <w:pStyle w:val="null3"/>
        <w:ind w:firstLine="482"/>
        <w:jc w:val="both"/>
      </w:pPr>
      <w:r>
        <w:rPr>
          <w:rFonts w:ascii="宋体" w:hAnsi="宋体" w:cs="宋体" w:eastAsia="宋体"/>
          <w:sz w:val="20"/>
          <w:b/>
        </w:rPr>
        <w:t>（</w:t>
      </w:r>
      <w:r>
        <w:rPr>
          <w:rFonts w:ascii="宋体" w:hAnsi="宋体" w:cs="宋体" w:eastAsia="宋体"/>
          <w:sz w:val="20"/>
          <w:b/>
        </w:rPr>
        <w:t>四</w:t>
      </w:r>
      <w:r>
        <w:rPr>
          <w:rFonts w:ascii="宋体" w:hAnsi="宋体" w:cs="宋体" w:eastAsia="宋体"/>
          <w:sz w:val="20"/>
          <w:b/>
        </w:rPr>
        <w:t>）项目功能要求</w:t>
      </w:r>
    </w:p>
    <w:p>
      <w:pPr>
        <w:pStyle w:val="null3"/>
        <w:ind w:firstLine="482"/>
        <w:jc w:val="both"/>
      </w:pPr>
      <w:r>
        <w:rPr>
          <w:rFonts w:ascii="宋体" w:hAnsi="宋体" w:cs="宋体" w:eastAsia="宋体"/>
          <w:sz w:val="20"/>
          <w:b/>
        </w:rPr>
        <w:t>★1.二类移动监测站基本功能要求（需提供专项承诺）</w:t>
      </w:r>
    </w:p>
    <w:p>
      <w:pPr>
        <w:pStyle w:val="null3"/>
        <w:ind w:firstLine="480"/>
        <w:jc w:val="both"/>
      </w:pPr>
      <w:r>
        <w:rPr>
          <w:rFonts w:ascii="宋体" w:hAnsi="宋体" w:cs="宋体" w:eastAsia="宋体"/>
          <w:sz w:val="20"/>
        </w:rPr>
        <w:t>（</w:t>
      </w:r>
      <w:r>
        <w:rPr>
          <w:rFonts w:ascii="宋体" w:hAnsi="宋体" w:cs="宋体" w:eastAsia="宋体"/>
          <w:sz w:val="20"/>
        </w:rPr>
        <w:t>1）基本监测功能：频率测量、电平测量、场强和功率通量密度测量、占用带宽测量、调制测量、脉冲测量、覆盖范围测量、频率使用率测量、无用发射测量、信号分析和发射机类别识别等。</w:t>
      </w:r>
    </w:p>
    <w:p>
      <w:pPr>
        <w:pStyle w:val="null3"/>
        <w:ind w:firstLine="480"/>
        <w:jc w:val="both"/>
      </w:pPr>
      <w:r>
        <w:rPr>
          <w:rFonts w:ascii="宋体" w:hAnsi="宋体" w:cs="宋体" w:eastAsia="宋体"/>
          <w:sz w:val="20"/>
        </w:rPr>
        <w:t>（</w:t>
      </w:r>
      <w:r>
        <w:rPr>
          <w:rFonts w:ascii="宋体" w:hAnsi="宋体" w:cs="宋体" w:eastAsia="宋体"/>
          <w:sz w:val="20"/>
        </w:rPr>
        <w:t>2）电磁环境测量。</w:t>
      </w:r>
    </w:p>
    <w:p>
      <w:pPr>
        <w:pStyle w:val="null3"/>
        <w:ind w:firstLine="480"/>
        <w:jc w:val="both"/>
      </w:pPr>
      <w:r>
        <w:rPr>
          <w:rFonts w:ascii="宋体" w:hAnsi="宋体" w:cs="宋体" w:eastAsia="宋体"/>
          <w:sz w:val="20"/>
        </w:rPr>
        <w:t>（</w:t>
      </w:r>
      <w:r>
        <w:rPr>
          <w:rFonts w:ascii="宋体" w:hAnsi="宋体" w:cs="宋体" w:eastAsia="宋体"/>
          <w:sz w:val="20"/>
        </w:rPr>
        <w:t>3）广播电视声音与图像信号监测和分析等。</w:t>
      </w:r>
    </w:p>
    <w:p>
      <w:pPr>
        <w:pStyle w:val="null3"/>
        <w:ind w:firstLine="480"/>
        <w:jc w:val="both"/>
      </w:pPr>
      <w:r>
        <w:rPr>
          <w:rFonts w:ascii="宋体" w:hAnsi="宋体" w:cs="宋体" w:eastAsia="宋体"/>
          <w:sz w:val="20"/>
        </w:rPr>
        <w:t>（</w:t>
      </w:r>
      <w:r>
        <w:rPr>
          <w:rFonts w:ascii="宋体" w:hAnsi="宋体" w:cs="宋体" w:eastAsia="宋体"/>
          <w:sz w:val="20"/>
        </w:rPr>
        <w:t>4）至少支持一种无线电测向体制，如空间谱估计、相关干涉仪、比幅比相等，能够对过去不少于6 小时内出现过的干扰信号测向定位。</w:t>
      </w:r>
    </w:p>
    <w:p>
      <w:pPr>
        <w:pStyle w:val="null3"/>
        <w:ind w:firstLine="480"/>
        <w:jc w:val="both"/>
      </w:pPr>
      <w:r>
        <w:rPr>
          <w:rFonts w:ascii="宋体" w:hAnsi="宋体" w:cs="宋体" w:eastAsia="宋体"/>
          <w:sz w:val="20"/>
        </w:rPr>
        <w:t>（</w:t>
      </w:r>
      <w:r>
        <w:rPr>
          <w:rFonts w:ascii="宋体" w:hAnsi="宋体" w:cs="宋体" w:eastAsia="宋体"/>
          <w:sz w:val="20"/>
        </w:rPr>
        <w:t>5）移动监测站系统、电源系统符合《无线电管理特种车及装备配置技术要求》。</w:t>
      </w:r>
    </w:p>
    <w:p>
      <w:pPr>
        <w:pStyle w:val="null3"/>
        <w:ind w:firstLine="480"/>
        <w:jc w:val="both"/>
      </w:pPr>
      <w:r>
        <w:rPr>
          <w:rFonts w:ascii="宋体" w:hAnsi="宋体" w:cs="宋体" w:eastAsia="宋体"/>
          <w:sz w:val="20"/>
        </w:rPr>
        <w:t>（</w:t>
      </w:r>
      <w:r>
        <w:rPr>
          <w:rFonts w:ascii="宋体" w:hAnsi="宋体" w:cs="宋体" w:eastAsia="宋体"/>
          <w:sz w:val="20"/>
        </w:rPr>
        <w:t>6）移动监测站具备连续工作4小时以上的能力。</w:t>
      </w:r>
    </w:p>
    <w:p>
      <w:pPr>
        <w:pStyle w:val="null3"/>
        <w:ind w:firstLine="482"/>
        <w:jc w:val="both"/>
      </w:pPr>
      <w:r>
        <w:rPr>
          <w:rFonts w:ascii="宋体" w:hAnsi="宋体" w:cs="宋体" w:eastAsia="宋体"/>
          <w:sz w:val="20"/>
          <w:b/>
        </w:rPr>
        <w:t>2.二类移动监测站具体功能要求</w:t>
      </w:r>
    </w:p>
    <w:p>
      <w:pPr>
        <w:pStyle w:val="null3"/>
        <w:ind w:firstLine="480"/>
        <w:jc w:val="both"/>
      </w:pPr>
      <w:r>
        <w:rPr>
          <w:rFonts w:ascii="宋体" w:hAnsi="宋体" w:cs="宋体" w:eastAsia="宋体"/>
          <w:sz w:val="20"/>
          <w:b/>
        </w:rPr>
        <w:t>（</w:t>
      </w:r>
      <w:r>
        <w:rPr>
          <w:rFonts w:ascii="宋体" w:hAnsi="宋体" w:cs="宋体" w:eastAsia="宋体"/>
          <w:sz w:val="20"/>
          <w:b/>
        </w:rPr>
        <w:t>1）测量方式和内容</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1</w:t>
      </w:r>
      <w:r>
        <w:rPr>
          <w:rFonts w:ascii="宋体" w:hAnsi="宋体" w:cs="宋体" w:eastAsia="宋体"/>
          <w:sz w:val="20"/>
          <w:b/>
        </w:rPr>
        <w:t>）</w:t>
      </w:r>
    </w:p>
    <w:p>
      <w:pPr>
        <w:pStyle w:val="null3"/>
        <w:ind w:firstLine="480"/>
        <w:jc w:val="both"/>
      </w:pPr>
      <w:r>
        <w:rPr>
          <w:rFonts w:ascii="宋体" w:hAnsi="宋体" w:cs="宋体" w:eastAsia="宋体"/>
          <w:sz w:val="20"/>
        </w:rPr>
        <w:t>1）支持频率测量、电平测量、场强和功率通量密度测量、占用带宽测量、调制测量、脉冲测量、覆盖范围测量、频率使用率测量、无用发射测量、信号分析和发射机类别识别等。</w:t>
      </w:r>
    </w:p>
    <w:p>
      <w:pPr>
        <w:pStyle w:val="null3"/>
        <w:ind w:firstLine="480"/>
        <w:jc w:val="both"/>
      </w:pPr>
      <w:r>
        <w:rPr>
          <w:rFonts w:ascii="宋体" w:hAnsi="宋体" w:cs="宋体" w:eastAsia="宋体"/>
          <w:sz w:val="20"/>
        </w:rPr>
        <w:t>2）单频测量。可对指定频率信号进行实时射频参数测量。参数（频率、电平、带宽、AM调幅度、FM频偏等）测量结果符合ITU-R相关参数要求。测量过程中可实时显示信号中频频谱、电平流图等，同时可对监测信号进行实时监听录音。</w:t>
      </w:r>
    </w:p>
    <w:p>
      <w:pPr>
        <w:pStyle w:val="null3"/>
        <w:ind w:firstLine="480"/>
        <w:jc w:val="both"/>
      </w:pPr>
      <w:r>
        <w:rPr>
          <w:rFonts w:ascii="宋体" w:hAnsi="宋体" w:cs="宋体" w:eastAsia="宋体"/>
          <w:sz w:val="20"/>
        </w:rPr>
        <w:t>3）离散扫描。对多个频率按设定的参数进行扫描监测。扫描监测过程中可实时测量各信号射频参数（包括频率、电平、带宽、AM调幅度、FM频偏等），参数测量结果符合ITU-R相关参数要求。能对各频点进行驻留监听并录音。</w:t>
      </w:r>
    </w:p>
    <w:p>
      <w:pPr>
        <w:pStyle w:val="null3"/>
        <w:ind w:firstLine="480"/>
        <w:jc w:val="both"/>
      </w:pPr>
      <w:r>
        <w:rPr>
          <w:rFonts w:ascii="宋体" w:hAnsi="宋体" w:cs="宋体" w:eastAsia="宋体"/>
          <w:sz w:val="20"/>
        </w:rPr>
        <w:t>4）宽带FFT频谱观测。具有宽带频谱测量功能，能够获取宽带频谱数据，对应的是经过多个FFT宽带拼接的频谱。</w:t>
      </w:r>
    </w:p>
    <w:p>
      <w:pPr>
        <w:pStyle w:val="null3"/>
        <w:ind w:firstLine="480"/>
        <w:jc w:val="both"/>
      </w:pPr>
      <w:r>
        <w:rPr>
          <w:rFonts w:ascii="宋体" w:hAnsi="宋体" w:cs="宋体" w:eastAsia="宋体"/>
          <w:sz w:val="20"/>
        </w:rPr>
        <w:t>5）频率扫描频谱观测。频段扫描：对指定一个频段或多个不连续频段按设定参数进行扫描监测。扫描监测过程中可实时测量各信号射频参数（包括频率、电平、带宽、AM调幅度、FM频偏等），参数测量结果符合ITU-R相关参数要求。能对各频点进行驻留监听并录音。</w:t>
      </w:r>
    </w:p>
    <w:p>
      <w:pPr>
        <w:pStyle w:val="null3"/>
        <w:ind w:firstLine="480"/>
        <w:jc w:val="both"/>
      </w:pPr>
      <w:r>
        <w:rPr>
          <w:rFonts w:ascii="宋体" w:hAnsi="宋体" w:cs="宋体" w:eastAsia="宋体"/>
          <w:sz w:val="20"/>
        </w:rPr>
        <w:t>6）全景扫描频谱观测。对指定频段范围内信号进行快速扫描监测，测量所有频率的电平数据并实时显示频谱图、瀑布图和3D图（频率、时间、电平），实时进行信道占用度统计，扫描过程可同时对指定信号进行测向和中频测量等功能并保存监测数据。支持扫描监测数据保存回放，监测结果打印。</w:t>
      </w:r>
    </w:p>
    <w:p>
      <w:pPr>
        <w:pStyle w:val="null3"/>
        <w:ind w:firstLine="480"/>
        <w:jc w:val="both"/>
      </w:pPr>
      <w:r>
        <w:rPr>
          <w:rFonts w:ascii="宋体" w:hAnsi="宋体" w:cs="宋体" w:eastAsia="宋体"/>
          <w:sz w:val="20"/>
        </w:rPr>
        <w:t>7）存储频率列表扫描。可设置并存储多个频率表，对频率表中频率进行扫描监测，测量各频率信号幅度（电平或场强）、信道占用度并显示瀑布图，扫描过程中可对信号进行驻留监听，可同时对指定信号进行测向和中频测量等功能并保存监测数据。支持扫描监测数据保存回放，监测结果打印。</w:t>
      </w:r>
    </w:p>
    <w:p>
      <w:pPr>
        <w:pStyle w:val="null3"/>
        <w:ind w:firstLine="480"/>
        <w:jc w:val="both"/>
      </w:pPr>
      <w:r>
        <w:rPr>
          <w:rFonts w:ascii="宋体" w:hAnsi="宋体" w:cs="宋体" w:eastAsia="宋体"/>
          <w:sz w:val="20"/>
        </w:rPr>
        <w:t>8）占用度测量。可根据监测任务需要生成符合相关技术规范的占用度数据及占用度报表，如信道占用度、频段占用度、监测月报表等。</w:t>
      </w:r>
    </w:p>
    <w:p>
      <w:pPr>
        <w:pStyle w:val="null3"/>
        <w:ind w:firstLine="480"/>
        <w:jc w:val="both"/>
      </w:pPr>
      <w:r>
        <w:rPr>
          <w:rFonts w:ascii="宋体" w:hAnsi="宋体" w:cs="宋体" w:eastAsia="宋体"/>
          <w:sz w:val="20"/>
          <w:b/>
        </w:rPr>
        <w:t>▲（2）多路通道监测</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2</w:t>
      </w:r>
      <w:r>
        <w:rPr>
          <w:rFonts w:ascii="宋体" w:hAnsi="宋体" w:cs="宋体" w:eastAsia="宋体"/>
          <w:sz w:val="20"/>
          <w:b/>
        </w:rPr>
        <w:t>）</w:t>
      </w:r>
    </w:p>
    <w:p>
      <w:pPr>
        <w:pStyle w:val="null3"/>
        <w:ind w:firstLine="480"/>
        <w:jc w:val="both"/>
      </w:pPr>
      <w:r>
        <w:rPr>
          <w:rFonts w:ascii="宋体" w:hAnsi="宋体" w:cs="宋体" w:eastAsia="宋体"/>
          <w:sz w:val="20"/>
        </w:rPr>
        <w:t>实现对中频带宽内多路窄带信号实时监测监听功能。</w:t>
      </w:r>
    </w:p>
    <w:p>
      <w:pPr>
        <w:pStyle w:val="null3"/>
        <w:ind w:firstLine="480"/>
        <w:jc w:val="both"/>
      </w:pPr>
      <w:r>
        <w:rPr>
          <w:rFonts w:ascii="宋体" w:hAnsi="宋体" w:cs="宋体" w:eastAsia="宋体"/>
          <w:sz w:val="20"/>
          <w:b/>
        </w:rPr>
        <w:t>（</w:t>
      </w:r>
      <w:r>
        <w:rPr>
          <w:rFonts w:ascii="宋体" w:hAnsi="宋体" w:cs="宋体" w:eastAsia="宋体"/>
          <w:sz w:val="20"/>
          <w:b/>
        </w:rPr>
        <w:t>3）电磁环境测量</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3</w:t>
      </w:r>
      <w:r>
        <w:rPr>
          <w:rFonts w:ascii="宋体" w:hAnsi="宋体" w:cs="宋体" w:eastAsia="宋体"/>
          <w:sz w:val="20"/>
          <w:b/>
        </w:rPr>
        <w:t>）</w:t>
      </w:r>
    </w:p>
    <w:p>
      <w:pPr>
        <w:pStyle w:val="null3"/>
        <w:ind w:firstLine="480"/>
        <w:jc w:val="both"/>
      </w:pPr>
      <w:r>
        <w:rPr>
          <w:rFonts w:ascii="宋体" w:hAnsi="宋体" w:cs="宋体" w:eastAsia="宋体"/>
          <w:sz w:val="20"/>
        </w:rPr>
        <w:t>软件能够获取当前监测站范围内的电磁环境，并能够自动建立信号列表；可以对信号测量信噪比、背噪等；也可以将当前测量的电磁环境数据作为模板，在以后使用中通过模板对比来发现电磁环境的变化情况。</w:t>
      </w:r>
    </w:p>
    <w:p>
      <w:pPr>
        <w:pStyle w:val="null3"/>
        <w:ind w:firstLine="480"/>
        <w:jc w:val="both"/>
      </w:pPr>
      <w:r>
        <w:rPr>
          <w:rFonts w:ascii="宋体" w:hAnsi="宋体" w:cs="宋体" w:eastAsia="宋体"/>
          <w:sz w:val="20"/>
          <w:b/>
        </w:rPr>
        <w:t>（</w:t>
      </w:r>
      <w:r>
        <w:rPr>
          <w:rFonts w:ascii="宋体" w:hAnsi="宋体" w:cs="宋体" w:eastAsia="宋体"/>
          <w:sz w:val="20"/>
          <w:b/>
        </w:rPr>
        <w:t>4）广播电视声音与图像信号监测和分析</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4</w:t>
      </w:r>
      <w:r>
        <w:rPr>
          <w:rFonts w:ascii="宋体" w:hAnsi="宋体" w:cs="宋体" w:eastAsia="宋体"/>
          <w:sz w:val="20"/>
          <w:b/>
        </w:rPr>
        <w:t>）</w:t>
      </w:r>
    </w:p>
    <w:p>
      <w:pPr>
        <w:pStyle w:val="null3"/>
        <w:ind w:firstLine="480"/>
        <w:jc w:val="both"/>
      </w:pPr>
      <w:r>
        <w:rPr>
          <w:rFonts w:ascii="宋体" w:hAnsi="宋体" w:cs="宋体" w:eastAsia="宋体"/>
          <w:sz w:val="20"/>
        </w:rPr>
        <w:t>数字电视信号解调：针对给定中心频率的数字电视信道进行数字电视信号的解调，可观察数字电视信号的内容。通过搜索、监测，能够发现正在播出的地面广播、电视信号。</w:t>
      </w:r>
    </w:p>
    <w:p>
      <w:pPr>
        <w:pStyle w:val="null3"/>
        <w:ind w:firstLine="480"/>
        <w:jc w:val="both"/>
      </w:pPr>
      <w:r>
        <w:rPr>
          <w:rFonts w:ascii="宋体" w:hAnsi="宋体" w:cs="宋体" w:eastAsia="宋体"/>
          <w:sz w:val="20"/>
        </w:rPr>
        <w:t>能够按照已规划的频道实施搜索、监测，以确定电视频道是否播出信号。能够测量其基本发射参数，并解调还原语音，实现对播出内容的监听。</w:t>
      </w:r>
    </w:p>
    <w:p>
      <w:pPr>
        <w:pStyle w:val="null3"/>
        <w:ind w:firstLine="480"/>
        <w:jc w:val="both"/>
      </w:pPr>
      <w:r>
        <w:rPr>
          <w:rFonts w:ascii="宋体" w:hAnsi="宋体" w:cs="宋体" w:eastAsia="宋体"/>
          <w:sz w:val="20"/>
          <w:b/>
        </w:rPr>
        <w:t>▲（5）专项监测功能</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5</w:t>
      </w:r>
      <w:r>
        <w:rPr>
          <w:rFonts w:ascii="宋体" w:hAnsi="宋体" w:cs="宋体" w:eastAsia="宋体"/>
          <w:sz w:val="20"/>
          <w:b/>
        </w:rPr>
        <w:t>）</w:t>
      </w:r>
    </w:p>
    <w:p>
      <w:pPr>
        <w:pStyle w:val="null3"/>
        <w:ind w:firstLine="480"/>
        <w:jc w:val="both"/>
      </w:pPr>
      <w:r>
        <w:rPr>
          <w:rFonts w:ascii="宋体" w:hAnsi="宋体" w:cs="宋体" w:eastAsia="宋体"/>
          <w:sz w:val="20"/>
        </w:rPr>
        <w:t>1）考试作弊信号解调</w:t>
      </w:r>
    </w:p>
    <w:p>
      <w:pPr>
        <w:pStyle w:val="null3"/>
        <w:ind w:firstLine="480"/>
        <w:jc w:val="both"/>
      </w:pPr>
      <w:r>
        <w:rPr>
          <w:rFonts w:ascii="宋体" w:hAnsi="宋体" w:cs="宋体" w:eastAsia="宋体"/>
          <w:sz w:val="20"/>
        </w:rPr>
        <w:t>具备对</w:t>
      </w:r>
      <w:r>
        <w:rPr>
          <w:rFonts w:ascii="宋体" w:hAnsi="宋体" w:cs="宋体" w:eastAsia="宋体"/>
          <w:sz w:val="20"/>
        </w:rPr>
        <w:t>FM、2FSK调制或LORA通信体制的考试作弊信号解调功能；具备实时显示考试作弊无线电信号的信号强度。</w:t>
      </w:r>
    </w:p>
    <w:p>
      <w:pPr>
        <w:pStyle w:val="null3"/>
        <w:ind w:firstLine="480"/>
        <w:jc w:val="both"/>
      </w:pPr>
      <w:r>
        <w:rPr>
          <w:rFonts w:ascii="宋体" w:hAnsi="宋体" w:cs="宋体" w:eastAsia="宋体"/>
          <w:sz w:val="20"/>
        </w:rPr>
        <w:t>2）黑广播专项监测</w:t>
      </w:r>
    </w:p>
    <w:p>
      <w:pPr>
        <w:pStyle w:val="null3"/>
        <w:ind w:firstLine="480"/>
        <w:jc w:val="both"/>
      </w:pPr>
      <w:r>
        <w:rPr>
          <w:rFonts w:ascii="宋体" w:hAnsi="宋体" w:cs="宋体" w:eastAsia="宋体"/>
          <w:sz w:val="20"/>
        </w:rPr>
        <w:t>能采用多通道监测模式（多路</w:t>
      </w:r>
      <w:r>
        <w:rPr>
          <w:rFonts w:ascii="宋体" w:hAnsi="宋体" w:cs="宋体" w:eastAsia="宋体"/>
          <w:sz w:val="20"/>
        </w:rPr>
        <w:t>DDC）对提取的广播信号录音保存，可统计广播信号的最大电平、平均电平、播放时间等；支持和台站库对比获取黑广播信息功能。支持同时选择多个站点显示黑广播电平信息，播放录音，统计时间占用度等。</w:t>
      </w:r>
    </w:p>
    <w:p>
      <w:pPr>
        <w:pStyle w:val="null3"/>
        <w:ind w:firstLine="480"/>
        <w:jc w:val="both"/>
      </w:pPr>
      <w:r>
        <w:rPr>
          <w:rFonts w:ascii="宋体" w:hAnsi="宋体" w:cs="宋体" w:eastAsia="宋体"/>
          <w:sz w:val="20"/>
        </w:rPr>
        <w:t>3）通信体制识别</w:t>
      </w:r>
    </w:p>
    <w:p>
      <w:pPr>
        <w:pStyle w:val="null3"/>
        <w:ind w:firstLine="480"/>
        <w:jc w:val="both"/>
      </w:pPr>
      <w:r>
        <w:rPr>
          <w:rFonts w:ascii="宋体" w:hAnsi="宋体" w:cs="宋体" w:eastAsia="宋体"/>
          <w:sz w:val="20"/>
        </w:rPr>
        <w:t>能识别的通信体制至少包括：</w:t>
      </w:r>
      <w:r>
        <w:rPr>
          <w:rFonts w:ascii="宋体" w:hAnsi="宋体" w:cs="宋体" w:eastAsia="宋体"/>
          <w:sz w:val="20"/>
        </w:rPr>
        <w:t>DMR、dPMR、NXDN、PDT、TETRA；声码器包括DVSI、清华等。</w:t>
      </w:r>
    </w:p>
    <w:p>
      <w:pPr>
        <w:pStyle w:val="null3"/>
        <w:ind w:firstLine="482"/>
        <w:jc w:val="both"/>
      </w:pPr>
      <w:r>
        <w:rPr>
          <w:rFonts w:ascii="宋体" w:hAnsi="宋体" w:cs="宋体" w:eastAsia="宋体"/>
          <w:sz w:val="20"/>
        </w:rPr>
        <w:t>4）基站信号解码功能</w:t>
      </w:r>
    </w:p>
    <w:p>
      <w:pPr>
        <w:pStyle w:val="null3"/>
        <w:ind w:firstLine="480"/>
        <w:jc w:val="both"/>
      </w:pPr>
      <w:r>
        <w:rPr>
          <w:rFonts w:ascii="宋体" w:hAnsi="宋体" w:cs="宋体" w:eastAsia="宋体"/>
          <w:sz w:val="20"/>
        </w:rPr>
        <w:t>具备</w:t>
      </w:r>
      <w:r>
        <w:rPr>
          <w:rFonts w:ascii="宋体" w:hAnsi="宋体" w:cs="宋体" w:eastAsia="宋体"/>
          <w:sz w:val="20"/>
        </w:rPr>
        <w:t>2G/3G/4G/5G等公众移动通信基站信号识别和解码功能。</w:t>
      </w:r>
    </w:p>
    <w:p>
      <w:pPr>
        <w:pStyle w:val="null3"/>
        <w:ind w:firstLine="480"/>
        <w:jc w:val="both"/>
      </w:pPr>
      <w:r>
        <w:rPr>
          <w:rFonts w:ascii="宋体" w:hAnsi="宋体" w:cs="宋体" w:eastAsia="宋体"/>
          <w:sz w:val="20"/>
        </w:rPr>
        <w:t>能导出基站解析数据，具备数据保存、统计、分析、展示功能。能按不同运营商</w:t>
      </w:r>
      <w:r>
        <w:rPr>
          <w:rFonts w:ascii="宋体" w:hAnsi="宋体" w:cs="宋体" w:eastAsia="宋体"/>
          <w:sz w:val="20"/>
        </w:rPr>
        <w:t>/技术体制进行统计，能与台站库中登记的基站全球小区标识号进行比对。</w:t>
      </w:r>
    </w:p>
    <w:p>
      <w:pPr>
        <w:pStyle w:val="null3"/>
        <w:ind w:firstLine="480"/>
        <w:jc w:val="both"/>
      </w:pPr>
      <w:r>
        <w:rPr>
          <w:rFonts w:ascii="宋体" w:hAnsi="宋体" w:cs="宋体" w:eastAsia="宋体"/>
          <w:sz w:val="20"/>
        </w:rPr>
        <w:t>5）信号解调</w:t>
      </w:r>
    </w:p>
    <w:p>
      <w:pPr>
        <w:pStyle w:val="null3"/>
        <w:ind w:firstLine="480"/>
        <w:jc w:val="both"/>
      </w:pPr>
      <w:r>
        <w:rPr>
          <w:rFonts w:ascii="宋体" w:hAnsi="宋体" w:cs="宋体" w:eastAsia="宋体"/>
          <w:sz w:val="20"/>
        </w:rPr>
        <w:t>支持解调的信号类型包括但不限于</w:t>
      </w:r>
      <w:r>
        <w:rPr>
          <w:rFonts w:ascii="宋体" w:hAnsi="宋体" w:cs="宋体" w:eastAsia="宋体"/>
          <w:sz w:val="20"/>
        </w:rPr>
        <w:t>AM、FM、LSB、USB、CW、FSK、BPSK、QPSK、OQPSK、π/4DQPSK、QAM等，能多窗口展示频谱图、瀑布图、星座图、眼图等，能对解调出的音频数据进行监听录音。</w:t>
      </w:r>
    </w:p>
    <w:p>
      <w:pPr>
        <w:pStyle w:val="null3"/>
        <w:ind w:firstLine="480"/>
        <w:jc w:val="both"/>
      </w:pPr>
      <w:r>
        <w:rPr>
          <w:rFonts w:ascii="宋体" w:hAnsi="宋体" w:cs="宋体" w:eastAsia="宋体"/>
          <w:sz w:val="20"/>
        </w:rPr>
        <w:t>6）跳频信号捕获</w:t>
      </w:r>
    </w:p>
    <w:p>
      <w:pPr>
        <w:pStyle w:val="null3"/>
        <w:ind w:firstLine="480"/>
        <w:jc w:val="both"/>
      </w:pPr>
      <w:r>
        <w:rPr>
          <w:rFonts w:ascii="宋体" w:hAnsi="宋体" w:cs="宋体" w:eastAsia="宋体"/>
          <w:sz w:val="20"/>
        </w:rPr>
        <w:t>支持捕获跳频信号，支持脉冲信号测量、跳频信号测量，支持显示荧光谱脉冲信号测量参数包括频率、脉宽、周期等。</w:t>
      </w:r>
    </w:p>
    <w:p>
      <w:pPr>
        <w:pStyle w:val="null3"/>
        <w:ind w:firstLine="480"/>
        <w:jc w:val="both"/>
      </w:pPr>
      <w:r>
        <w:rPr>
          <w:rFonts w:ascii="宋体" w:hAnsi="宋体" w:cs="宋体" w:eastAsia="宋体"/>
          <w:sz w:val="20"/>
        </w:rPr>
        <w:t>跳频信号测量参数包括跳频信号频率、带宽等。</w:t>
      </w:r>
    </w:p>
    <w:p>
      <w:pPr>
        <w:pStyle w:val="null3"/>
        <w:ind w:firstLine="480"/>
        <w:jc w:val="both"/>
      </w:pPr>
      <w:r>
        <w:rPr>
          <w:rFonts w:ascii="宋体" w:hAnsi="宋体" w:cs="宋体" w:eastAsia="宋体"/>
          <w:sz w:val="20"/>
        </w:rPr>
        <w:t>7）ADS-B信号解析</w:t>
      </w:r>
    </w:p>
    <w:p>
      <w:pPr>
        <w:pStyle w:val="null3"/>
        <w:ind w:firstLine="480"/>
        <w:jc w:val="both"/>
      </w:pPr>
      <w:r>
        <w:rPr>
          <w:rFonts w:ascii="宋体" w:hAnsi="宋体" w:cs="宋体" w:eastAsia="宋体"/>
          <w:sz w:val="20"/>
        </w:rPr>
        <w:t>能分析飞机的位置、高度等信息。</w:t>
      </w:r>
    </w:p>
    <w:p>
      <w:pPr>
        <w:pStyle w:val="null3"/>
        <w:ind w:firstLine="480"/>
        <w:jc w:val="both"/>
      </w:pPr>
      <w:r>
        <w:rPr>
          <w:rFonts w:ascii="宋体" w:hAnsi="宋体" w:cs="宋体" w:eastAsia="宋体"/>
          <w:sz w:val="20"/>
          <w:b/>
        </w:rPr>
        <w:t>（</w:t>
      </w:r>
      <w:r>
        <w:rPr>
          <w:rFonts w:ascii="宋体" w:hAnsi="宋体" w:cs="宋体" w:eastAsia="宋体"/>
          <w:sz w:val="20"/>
          <w:b/>
        </w:rPr>
        <w:t>6）文字识别功能</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6</w:t>
      </w:r>
      <w:r>
        <w:rPr>
          <w:rFonts w:ascii="宋体" w:hAnsi="宋体" w:cs="宋体" w:eastAsia="宋体"/>
          <w:sz w:val="20"/>
          <w:b/>
        </w:rPr>
        <w:t>）</w:t>
      </w:r>
    </w:p>
    <w:p>
      <w:pPr>
        <w:pStyle w:val="null3"/>
        <w:ind w:firstLine="480"/>
        <w:jc w:val="both"/>
      </w:pPr>
      <w:r>
        <w:rPr>
          <w:rFonts w:ascii="宋体" w:hAnsi="宋体" w:cs="宋体" w:eastAsia="宋体"/>
          <w:sz w:val="20"/>
        </w:rPr>
        <w:t>能对语音中的关键字进行识别和告警。</w:t>
      </w:r>
    </w:p>
    <w:p>
      <w:pPr>
        <w:pStyle w:val="null3"/>
        <w:ind w:firstLine="480"/>
        <w:jc w:val="both"/>
      </w:pPr>
      <w:r>
        <w:rPr>
          <w:rFonts w:ascii="宋体" w:hAnsi="宋体" w:cs="宋体" w:eastAsia="宋体"/>
          <w:sz w:val="20"/>
          <w:b/>
        </w:rPr>
        <w:t>（</w:t>
      </w:r>
      <w:r>
        <w:rPr>
          <w:rFonts w:ascii="宋体" w:hAnsi="宋体" w:cs="宋体" w:eastAsia="宋体"/>
          <w:sz w:val="20"/>
          <w:b/>
        </w:rPr>
        <w:t>7）路测功能</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7</w:t>
      </w:r>
      <w:r>
        <w:rPr>
          <w:rFonts w:ascii="宋体" w:hAnsi="宋体" w:cs="宋体" w:eastAsia="宋体"/>
          <w:sz w:val="20"/>
          <w:b/>
        </w:rPr>
        <w:t>）</w:t>
      </w:r>
    </w:p>
    <w:p>
      <w:pPr>
        <w:pStyle w:val="null3"/>
        <w:ind w:firstLine="480"/>
        <w:jc w:val="both"/>
      </w:pPr>
      <w:r>
        <w:rPr>
          <w:rFonts w:ascii="宋体" w:hAnsi="宋体" w:cs="宋体" w:eastAsia="宋体"/>
          <w:sz w:val="20"/>
        </w:rPr>
        <w:t>支持频率使用率的频段占用度、年时间占用度、区域覆盖率三个指标测试；按国家标准</w:t>
      </w:r>
      <w:r>
        <w:rPr>
          <w:rFonts w:ascii="宋体" w:hAnsi="宋体" w:cs="宋体" w:eastAsia="宋体"/>
          <w:sz w:val="20"/>
        </w:rPr>
        <w:t>bin格式保存数据；能显示和计算路测轨迹、场强热力图、频谱地图、信号定位信息（概率估算）。</w:t>
      </w:r>
    </w:p>
    <w:p>
      <w:pPr>
        <w:pStyle w:val="null3"/>
        <w:ind w:firstLine="482"/>
        <w:jc w:val="both"/>
      </w:pPr>
      <w:r>
        <w:rPr>
          <w:rFonts w:ascii="宋体" w:hAnsi="宋体" w:cs="宋体" w:eastAsia="宋体"/>
          <w:sz w:val="20"/>
          <w:b/>
        </w:rPr>
        <w:t>（</w:t>
      </w:r>
      <w:r>
        <w:rPr>
          <w:rFonts w:ascii="宋体" w:hAnsi="宋体" w:cs="宋体" w:eastAsia="宋体"/>
          <w:sz w:val="20"/>
          <w:b/>
        </w:rPr>
        <w:t>8）数据存储和回放功能</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8</w:t>
      </w:r>
      <w:r>
        <w:rPr>
          <w:rFonts w:ascii="宋体" w:hAnsi="宋体" w:cs="宋体" w:eastAsia="宋体"/>
          <w:sz w:val="20"/>
          <w:b/>
        </w:rPr>
        <w:t>）</w:t>
      </w:r>
    </w:p>
    <w:p>
      <w:pPr>
        <w:pStyle w:val="null3"/>
        <w:ind w:firstLine="480"/>
        <w:jc w:val="both"/>
      </w:pPr>
      <w:r>
        <w:rPr>
          <w:rFonts w:ascii="宋体" w:hAnsi="宋体" w:cs="宋体" w:eastAsia="宋体"/>
          <w:sz w:val="20"/>
        </w:rPr>
        <w:t>支持存储和回放监测原始数据、音频数据、</w:t>
      </w:r>
      <w:r>
        <w:rPr>
          <w:rFonts w:ascii="宋体" w:hAnsi="宋体" w:cs="宋体" w:eastAsia="宋体"/>
          <w:sz w:val="20"/>
        </w:rPr>
        <w:t>I/Q数据频谱和瀑布图等数据。支持工作任务日志存储。监测数据符合国家无线电管理机构对监测数据库的数据格式要求。可以实现频谱和解析语音回放；支持多种数据的存储，包括频谱图、解码数据等；支持数据的回放，包括频谱、解码数据等的回放。</w:t>
      </w:r>
    </w:p>
    <w:p>
      <w:pPr>
        <w:pStyle w:val="null3"/>
        <w:ind w:firstLine="482"/>
        <w:jc w:val="both"/>
      </w:pPr>
      <w:r>
        <w:rPr>
          <w:rFonts w:ascii="宋体" w:hAnsi="宋体" w:cs="宋体" w:eastAsia="宋体"/>
          <w:sz w:val="20"/>
          <w:b/>
        </w:rPr>
        <w:t>（</w:t>
      </w:r>
      <w:r>
        <w:rPr>
          <w:rFonts w:ascii="宋体" w:hAnsi="宋体" w:cs="宋体" w:eastAsia="宋体"/>
          <w:sz w:val="20"/>
          <w:b/>
        </w:rPr>
        <w:t>9）设备组网和自检</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9</w:t>
      </w:r>
      <w:r>
        <w:rPr>
          <w:rFonts w:ascii="宋体" w:hAnsi="宋体" w:cs="宋体" w:eastAsia="宋体"/>
          <w:sz w:val="20"/>
          <w:b/>
        </w:rPr>
        <w:t>）</w:t>
      </w:r>
    </w:p>
    <w:p>
      <w:pPr>
        <w:pStyle w:val="null3"/>
        <w:ind w:firstLine="480"/>
        <w:jc w:val="both"/>
      </w:pPr>
      <w:r>
        <w:rPr>
          <w:rFonts w:ascii="宋体" w:hAnsi="宋体" w:cs="宋体" w:eastAsia="宋体"/>
          <w:sz w:val="20"/>
        </w:rPr>
        <w:t>软件具有监测测向设备的自检能力、能及时发现故障节点及报警功能；具有用户添加、删除和权限管理功能；日志管理可实现对用户任务执行和相关信息查询功能。支持通过一体化平台或通过设备底层控制，实现与其他监测站组网监测、数据共享。</w:t>
      </w:r>
    </w:p>
    <w:p>
      <w:pPr>
        <w:pStyle w:val="null3"/>
        <w:ind w:firstLine="482"/>
        <w:jc w:val="both"/>
      </w:pPr>
      <w:r>
        <w:rPr>
          <w:rFonts w:ascii="宋体" w:hAnsi="宋体" w:cs="宋体" w:eastAsia="宋体"/>
          <w:sz w:val="20"/>
          <w:b/>
        </w:rPr>
        <w:t>▲（10）监测测向软件支持分屏显示与控制</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1</w:t>
      </w:r>
      <w:r>
        <w:rPr>
          <w:rFonts w:ascii="宋体" w:hAnsi="宋体" w:cs="宋体" w:eastAsia="宋体"/>
          <w:sz w:val="20"/>
          <w:b/>
        </w:rPr>
        <w:t>0</w:t>
      </w:r>
      <w:r>
        <w:rPr>
          <w:rFonts w:ascii="宋体" w:hAnsi="宋体" w:cs="宋体" w:eastAsia="宋体"/>
          <w:sz w:val="20"/>
          <w:b/>
        </w:rPr>
        <w:t>）</w:t>
      </w:r>
    </w:p>
    <w:p>
      <w:pPr>
        <w:pStyle w:val="null3"/>
        <w:ind w:firstLine="480"/>
        <w:jc w:val="both"/>
      </w:pPr>
      <w:r>
        <w:rPr>
          <w:rFonts w:ascii="宋体" w:hAnsi="宋体" w:cs="宋体" w:eastAsia="宋体"/>
          <w:sz w:val="20"/>
        </w:rPr>
        <w:t>可通过扩展分屏方式，将重点关注的信息窗口扩展到其他屏幕，供相关人员重点查看使用；也可借助多客户端连接到同一服务端，通过观看模式或者抢占模式共享任务，支持多用户间的控制权实时切换，综合考虑使用便利性及车载功耗进行合理性选择应用，</w:t>
      </w:r>
      <w:r>
        <w:rPr>
          <w:rFonts w:ascii="宋体" w:hAnsi="宋体" w:cs="宋体" w:eastAsia="宋体"/>
          <w:sz w:val="20"/>
          <w:b/>
        </w:rPr>
        <w:t>需提供关于软件分屏的详细技术说明与实现原理。</w:t>
      </w:r>
    </w:p>
    <w:p>
      <w:pPr>
        <w:pStyle w:val="null3"/>
        <w:ind w:firstLine="482"/>
        <w:jc w:val="both"/>
      </w:pPr>
      <w:r>
        <w:rPr>
          <w:rFonts w:ascii="宋体" w:hAnsi="宋体" w:cs="宋体" w:eastAsia="宋体"/>
          <w:sz w:val="20"/>
          <w:b/>
        </w:rPr>
        <w:t>（</w:t>
      </w:r>
      <w:r>
        <w:rPr>
          <w:rFonts w:ascii="宋体" w:hAnsi="宋体" w:cs="宋体" w:eastAsia="宋体"/>
          <w:sz w:val="20"/>
          <w:b/>
        </w:rPr>
        <w:t>五</w:t>
      </w:r>
      <w:r>
        <w:rPr>
          <w:rFonts w:ascii="宋体" w:hAnsi="宋体" w:cs="宋体" w:eastAsia="宋体"/>
          <w:sz w:val="20"/>
          <w:b/>
        </w:rPr>
        <w:t>）项目技术指标要求</w:t>
      </w:r>
    </w:p>
    <w:p>
      <w:pPr>
        <w:pStyle w:val="null3"/>
        <w:ind w:firstLine="482"/>
        <w:jc w:val="both"/>
      </w:pPr>
      <w:r>
        <w:rPr>
          <w:rFonts w:ascii="宋体" w:hAnsi="宋体" w:cs="宋体" w:eastAsia="宋体"/>
          <w:sz w:val="20"/>
          <w:b/>
        </w:rPr>
        <w:t>★1.二类移动监测站主要技术指标（需提供专项承诺）</w:t>
      </w:r>
    </w:p>
    <w:p>
      <w:pPr>
        <w:pStyle w:val="null3"/>
        <w:ind w:firstLine="200"/>
        <w:jc w:val="center"/>
      </w:pPr>
      <w:r>
        <w:rPr>
          <w:rFonts w:ascii="宋体" w:hAnsi="宋体" w:cs="宋体" w:eastAsia="宋体"/>
          <w:sz w:val="20"/>
        </w:rPr>
        <w:t>二类移动监测站技术指标</w:t>
      </w:r>
    </w:p>
    <w:tbl>
      <w:tblPr>
        <w:tblW w:w="0" w:type="auto"/>
        <w:tblBorders>
          <w:top w:val="none" w:color="000000" w:sz="4"/>
          <w:left w:val="none" w:color="000000" w:sz="4"/>
          <w:bottom w:val="none" w:color="000000" w:sz="4"/>
          <w:right w:val="none" w:color="000000" w:sz="4"/>
          <w:insideH w:val="none"/>
          <w:insideV w:val="none"/>
        </w:tblBorders>
      </w:tblPr>
      <w:tblGrid>
        <w:gridCol w:w="2829"/>
        <w:gridCol w:w="5461"/>
      </w:tblGrid>
      <w:tr>
        <w:tc>
          <w:tcPr>
            <w:tcW w:type="dxa" w:w="28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b/>
              </w:rPr>
              <w:t>指标名称</w:t>
            </w:r>
          </w:p>
        </w:tc>
        <w:tc>
          <w:tcPr>
            <w:tcW w:type="dxa" w:w="54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b/>
              </w:rPr>
              <w:t>具体要求</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监测频率范围</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20MHz～18GHz</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测向频率范围</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290"/>
              <w:jc w:val="center"/>
            </w:pPr>
            <w:r>
              <w:rPr>
                <w:rFonts w:ascii="宋体" w:hAnsi="宋体" w:cs="宋体" w:eastAsia="宋体"/>
                <w:sz w:val="20"/>
              </w:rPr>
              <w:t>垂直极化：</w:t>
            </w:r>
            <w:r>
              <w:rPr>
                <w:rFonts w:ascii="宋体" w:hAnsi="宋体" w:cs="宋体" w:eastAsia="宋体"/>
                <w:sz w:val="20"/>
              </w:rPr>
              <w:t>20MHz～18GHz</w:t>
            </w:r>
          </w:p>
          <w:p>
            <w:pPr>
              <w:pStyle w:val="null3"/>
              <w:ind w:right="1290"/>
              <w:jc w:val="center"/>
            </w:pPr>
            <w:r>
              <w:rPr>
                <w:rFonts w:ascii="宋体" w:hAnsi="宋体" w:cs="宋体" w:eastAsia="宋体"/>
                <w:sz w:val="20"/>
              </w:rPr>
              <w:t xml:space="preserve"> </w:t>
            </w:r>
            <w:r>
              <w:rPr>
                <w:rFonts w:ascii="宋体" w:hAnsi="宋体" w:cs="宋体" w:eastAsia="宋体"/>
                <w:sz w:val="20"/>
              </w:rPr>
              <w:t>水平极化：</w:t>
            </w:r>
            <w:r>
              <w:rPr>
                <w:rFonts w:ascii="宋体" w:hAnsi="宋体" w:cs="宋体" w:eastAsia="宋体"/>
                <w:sz w:val="20"/>
              </w:rPr>
              <w:t>40MHz～1300MHz</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频率稳定度（</w:t>
            </w:r>
            <w:r>
              <w:rPr>
                <w:rFonts w:ascii="宋体" w:hAnsi="宋体" w:cs="宋体" w:eastAsia="宋体"/>
                <w:sz w:val="20"/>
              </w:rPr>
              <w:t>0℃-45℃)</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-3×10-7～3×10-7之间</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相位噪声（</w:t>
            </w:r>
            <w:r>
              <w:rPr>
                <w:rFonts w:ascii="宋体" w:hAnsi="宋体" w:cs="宋体" w:eastAsia="宋体"/>
                <w:sz w:val="20"/>
              </w:rPr>
              <w:t>fc=1GHz）</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≤-105dBc/Hz@10kHz</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实时中频带宽</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≥40MHz</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噪声系数</w:t>
            </w:r>
            <w:r>
              <w:rPr>
                <w:rFonts w:ascii="宋体" w:hAnsi="宋体" w:cs="宋体" w:eastAsia="宋体"/>
                <w:sz w:val="20"/>
              </w:rPr>
              <w:t>(实时带宽 20MHz)</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320"/>
              <w:jc w:val="center"/>
            </w:pPr>
            <w:r>
              <w:rPr>
                <w:rFonts w:ascii="宋体" w:hAnsi="宋体" w:cs="宋体" w:eastAsia="宋体"/>
                <w:sz w:val="20"/>
              </w:rPr>
              <w:t>≤15dB（20MHz～3000MHz）</w:t>
            </w:r>
          </w:p>
          <w:p>
            <w:pPr>
              <w:pStyle w:val="null3"/>
              <w:ind w:right="1320"/>
              <w:jc w:val="center"/>
            </w:pPr>
            <w:r>
              <w:rPr>
                <w:rFonts w:ascii="宋体" w:hAnsi="宋体" w:cs="宋体" w:eastAsia="宋体"/>
                <w:sz w:val="20"/>
              </w:rPr>
              <w:t>≤20dB（3GHz～18GHz）</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宋体" w:hAnsi="宋体" w:cs="宋体" w:eastAsia="宋体"/>
                <w:sz w:val="20"/>
              </w:rPr>
              <w:t>监测灵敏度</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≤15dBμV/m(20MHz～3000MHz)</w:t>
            </w:r>
          </w:p>
          <w:p>
            <w:pPr>
              <w:pStyle w:val="null3"/>
              <w:jc w:val="center"/>
            </w:pPr>
            <w:r>
              <w:rPr>
                <w:rFonts w:ascii="宋体" w:hAnsi="宋体" w:cs="宋体" w:eastAsia="宋体"/>
                <w:sz w:val="20"/>
              </w:rPr>
              <w:t>≤20dBμV/m(3GHz～6GHz)</w:t>
            </w:r>
          </w:p>
          <w:p>
            <w:pPr>
              <w:pStyle w:val="null3"/>
              <w:jc w:val="center"/>
            </w:pPr>
            <w:r>
              <w:rPr>
                <w:rFonts w:ascii="宋体" w:hAnsi="宋体" w:cs="宋体" w:eastAsia="宋体"/>
                <w:sz w:val="20"/>
              </w:rPr>
              <w:t>≤25dBμV/m（6GHz～18GHz)</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00"/>
              <w:jc w:val="center"/>
            </w:pPr>
            <w:r>
              <w:rPr>
                <w:rFonts w:ascii="宋体" w:hAnsi="宋体" w:cs="宋体" w:eastAsia="宋体"/>
                <w:sz w:val="20"/>
              </w:rPr>
              <w:t>测向灵敏度</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≤20dBμV/m(20MHz～3000MHz)</w:t>
            </w:r>
          </w:p>
          <w:p>
            <w:pPr>
              <w:pStyle w:val="null3"/>
              <w:jc w:val="center"/>
            </w:pPr>
            <w:r>
              <w:rPr>
                <w:rFonts w:ascii="宋体" w:hAnsi="宋体" w:cs="宋体" w:eastAsia="宋体"/>
                <w:sz w:val="20"/>
              </w:rPr>
              <w:t>≤25dBμV/m(3GHz～6GHz)</w:t>
            </w:r>
          </w:p>
          <w:p>
            <w:pPr>
              <w:pStyle w:val="null3"/>
              <w:jc w:val="center"/>
            </w:pPr>
            <w:r>
              <w:rPr>
                <w:rFonts w:ascii="宋体" w:hAnsi="宋体" w:cs="宋体" w:eastAsia="宋体"/>
                <w:sz w:val="20"/>
              </w:rPr>
              <w:t>≤30dBμV/m(6GHz～18GHz)</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测向准确度</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315"/>
              <w:jc w:val="center"/>
            </w:pPr>
            <w:r>
              <w:rPr>
                <w:rFonts w:ascii="宋体" w:hAnsi="宋体" w:cs="宋体" w:eastAsia="宋体"/>
                <w:sz w:val="20"/>
              </w:rPr>
              <w:t>≤3°（30MHz～3000MHz ，R.M.S，无反射环境）</w:t>
            </w:r>
          </w:p>
          <w:p>
            <w:pPr>
              <w:pStyle w:val="null3"/>
              <w:ind w:right="315"/>
              <w:jc w:val="center"/>
            </w:pPr>
            <w:r>
              <w:rPr>
                <w:rFonts w:ascii="宋体" w:hAnsi="宋体" w:cs="宋体" w:eastAsia="宋体"/>
                <w:sz w:val="20"/>
              </w:rPr>
              <w:t>≤5°（3GHz～18GHz ，R.M.S，无反射环境）</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测向时效</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≤5ms（单次突发信号）</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扫描速度（</w:t>
            </w:r>
            <w:r>
              <w:rPr>
                <w:rFonts w:ascii="宋体" w:hAnsi="宋体" w:cs="宋体" w:eastAsia="宋体"/>
                <w:sz w:val="20"/>
              </w:rPr>
              <w:t>25kHz 步进）</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≥50GHz/s</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二阶截断点（低失真模式；中频带宽</w:t>
            </w:r>
            <w:r>
              <w:rPr>
                <w:rFonts w:ascii="宋体" w:hAnsi="宋体" w:cs="宋体" w:eastAsia="宋体"/>
                <w:sz w:val="20"/>
              </w:rPr>
              <w:t>20MHz）</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≥50dBm</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三阶截断点（低失真模式；中频带宽</w:t>
            </w:r>
            <w:r>
              <w:rPr>
                <w:rFonts w:ascii="宋体" w:hAnsi="宋体" w:cs="宋体" w:eastAsia="宋体"/>
                <w:sz w:val="20"/>
              </w:rPr>
              <w:t>20MHz）</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≥10dBm</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中频</w:t>
            </w:r>
            <w:r>
              <w:rPr>
                <w:rFonts w:ascii="宋体" w:hAnsi="宋体" w:cs="宋体" w:eastAsia="宋体"/>
                <w:sz w:val="20"/>
              </w:rPr>
              <w:t>/镜像抑制</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≥90dB</w:t>
            </w:r>
          </w:p>
        </w:tc>
      </w:tr>
      <w:tr>
        <w:tc>
          <w:tcPr>
            <w:tcW w:type="dxa" w:w="28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调制测量能力</w:t>
            </w:r>
          </w:p>
        </w:tc>
        <w:tc>
          <w:tcPr>
            <w:tcW w:type="dxa" w:w="54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AM 、FM 、CW、ASK、PSK、DPSK、QAM、 FSK、MSK 等</w:t>
            </w:r>
          </w:p>
        </w:tc>
      </w:tr>
    </w:tbl>
    <w:p>
      <w:pPr>
        <w:pStyle w:val="null3"/>
        <w:ind w:firstLine="482"/>
        <w:jc w:val="both"/>
      </w:pPr>
      <w:r>
        <w:rPr>
          <w:rFonts w:ascii="宋体" w:hAnsi="宋体" w:cs="宋体" w:eastAsia="宋体"/>
          <w:sz w:val="20"/>
          <w:b/>
        </w:rPr>
        <w:t>2.系统管理控制单元</w:t>
      </w:r>
    </w:p>
    <w:p>
      <w:pPr>
        <w:pStyle w:val="null3"/>
        <w:ind w:firstLine="480"/>
        <w:jc w:val="both"/>
      </w:pPr>
      <w:r>
        <w:rPr>
          <w:rFonts w:ascii="宋体" w:hAnsi="宋体" w:cs="宋体" w:eastAsia="宋体"/>
          <w:sz w:val="20"/>
        </w:rPr>
        <w:t>▲</w:t>
      </w:r>
      <w:r>
        <w:rPr>
          <w:rFonts w:ascii="宋体" w:hAnsi="宋体" w:cs="宋体" w:eastAsia="宋体"/>
          <w:sz w:val="20"/>
          <w:b/>
        </w:rPr>
        <w:t>（</w:t>
      </w:r>
      <w:r>
        <w:rPr>
          <w:rFonts w:ascii="宋体" w:hAnsi="宋体" w:cs="宋体" w:eastAsia="宋体"/>
          <w:sz w:val="20"/>
          <w:b/>
        </w:rPr>
        <w:t>1）设备电磁兼容设计</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1</w:t>
      </w:r>
      <w:r>
        <w:rPr>
          <w:rFonts w:ascii="宋体" w:hAnsi="宋体" w:cs="宋体" w:eastAsia="宋体"/>
          <w:sz w:val="20"/>
          <w:b/>
        </w:rPr>
        <w:t>1</w:t>
      </w:r>
      <w:r>
        <w:rPr>
          <w:rFonts w:ascii="宋体" w:hAnsi="宋体" w:cs="宋体" w:eastAsia="宋体"/>
          <w:sz w:val="20"/>
          <w:b/>
        </w:rPr>
        <w:t>）</w:t>
      </w:r>
    </w:p>
    <w:p>
      <w:pPr>
        <w:pStyle w:val="null3"/>
        <w:ind w:firstLine="480"/>
        <w:jc w:val="both"/>
      </w:pPr>
      <w:r>
        <w:rPr>
          <w:rFonts w:ascii="宋体" w:hAnsi="宋体" w:cs="宋体" w:eastAsia="宋体"/>
          <w:sz w:val="20"/>
        </w:rPr>
        <w:t>考虑车辆集成设备空间有限，同时为了减少网络设备和工控机对外的电磁辐射，需要将设备集成到一个机箱内，该机箱需做好电磁兼容设计，</w:t>
      </w:r>
      <w:r>
        <w:rPr>
          <w:rFonts w:ascii="宋体" w:hAnsi="宋体" w:cs="宋体" w:eastAsia="宋体"/>
          <w:sz w:val="20"/>
          <w:b/>
        </w:rPr>
        <w:t>需提供详细技术说明与实现原理。</w:t>
      </w:r>
    </w:p>
    <w:p>
      <w:pPr>
        <w:pStyle w:val="null3"/>
        <w:ind w:firstLine="480"/>
        <w:jc w:val="both"/>
      </w:pPr>
      <w:r>
        <w:rPr>
          <w:rFonts w:ascii="宋体" w:hAnsi="宋体" w:cs="宋体" w:eastAsia="宋体"/>
          <w:sz w:val="20"/>
          <w:b/>
        </w:rPr>
        <w:t>（</w:t>
      </w:r>
      <w:r>
        <w:rPr>
          <w:rFonts w:ascii="宋体" w:hAnsi="宋体" w:cs="宋体" w:eastAsia="宋体"/>
          <w:sz w:val="20"/>
          <w:b/>
        </w:rPr>
        <w:t>2）工控机技术指标要求</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1</w:t>
      </w:r>
      <w:r>
        <w:rPr>
          <w:rFonts w:ascii="宋体" w:hAnsi="宋体" w:cs="宋体" w:eastAsia="宋体"/>
          <w:sz w:val="20"/>
          <w:b/>
        </w:rPr>
        <w:t>2</w:t>
      </w:r>
      <w:r>
        <w:rPr>
          <w:rFonts w:ascii="宋体" w:hAnsi="宋体" w:cs="宋体" w:eastAsia="宋体"/>
          <w:sz w:val="20"/>
          <w:b/>
        </w:rPr>
        <w:t>）</w:t>
      </w:r>
    </w:p>
    <w:p>
      <w:pPr>
        <w:pStyle w:val="null3"/>
        <w:ind w:firstLine="480"/>
        <w:jc w:val="both"/>
      </w:pPr>
      <w:r>
        <w:rPr>
          <w:rFonts w:ascii="宋体" w:hAnsi="宋体" w:cs="宋体" w:eastAsia="宋体"/>
          <w:sz w:val="20"/>
        </w:rPr>
        <w:t>不低于处理器</w:t>
      </w:r>
      <w:r>
        <w:rPr>
          <w:rFonts w:ascii="宋体" w:hAnsi="宋体" w:cs="宋体" w:eastAsia="宋体"/>
          <w:sz w:val="20"/>
        </w:rPr>
        <w:t>8核心16线程2.4G主频14纳米制作工艺/内存32GB/硬盘10TB。</w:t>
      </w:r>
    </w:p>
    <w:p>
      <w:pPr>
        <w:pStyle w:val="null3"/>
        <w:ind w:firstLine="480"/>
        <w:jc w:val="both"/>
      </w:pPr>
      <w:r>
        <w:rPr>
          <w:rFonts w:ascii="宋体" w:hAnsi="宋体" w:cs="宋体" w:eastAsia="宋体"/>
          <w:sz w:val="20"/>
          <w:b/>
        </w:rPr>
        <w:t>（</w:t>
      </w:r>
      <w:r>
        <w:rPr>
          <w:rFonts w:ascii="宋体" w:hAnsi="宋体" w:cs="宋体" w:eastAsia="宋体"/>
          <w:sz w:val="20"/>
          <w:b/>
        </w:rPr>
        <w:t>3）交换机技术指标要求</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1</w:t>
      </w:r>
      <w:r>
        <w:rPr>
          <w:rFonts w:ascii="宋体" w:hAnsi="宋体" w:cs="宋体" w:eastAsia="宋体"/>
          <w:sz w:val="20"/>
          <w:b/>
        </w:rPr>
        <w:t>3</w:t>
      </w:r>
      <w:r>
        <w:rPr>
          <w:rFonts w:ascii="宋体" w:hAnsi="宋体" w:cs="宋体" w:eastAsia="宋体"/>
          <w:sz w:val="20"/>
          <w:b/>
        </w:rPr>
        <w:t>）</w:t>
      </w:r>
    </w:p>
    <w:p>
      <w:pPr>
        <w:pStyle w:val="null3"/>
        <w:ind w:firstLine="480"/>
        <w:jc w:val="both"/>
      </w:pPr>
      <w:r>
        <w:rPr>
          <w:rFonts w:ascii="宋体" w:hAnsi="宋体" w:cs="宋体" w:eastAsia="宋体"/>
          <w:sz w:val="20"/>
        </w:rPr>
        <w:t>不少于</w:t>
      </w:r>
      <w:r>
        <w:rPr>
          <w:rFonts w:ascii="宋体" w:hAnsi="宋体" w:cs="宋体" w:eastAsia="宋体"/>
          <w:sz w:val="20"/>
        </w:rPr>
        <w:t>8个千兆RJ45端口；支持IEEE 802.3/3i/3u/3x与IEEE 802.3ab协议标准；兼容Modbus TCP、Ethernet/IP、Profinet等协议；支持存储转发；支持802.1Q VLAN、MTU VLAN、端口VLAN；支持端口优先级、802.1P优先级、DSCP优先级；支持端口限速、风暴抑制。</w:t>
      </w:r>
    </w:p>
    <w:p>
      <w:pPr>
        <w:pStyle w:val="null3"/>
        <w:ind w:firstLine="480"/>
        <w:jc w:val="both"/>
      </w:pPr>
      <w:r>
        <w:rPr>
          <w:rFonts w:ascii="宋体" w:hAnsi="宋体" w:cs="宋体" w:eastAsia="宋体"/>
          <w:sz w:val="20"/>
          <w:b/>
        </w:rPr>
        <w:t>（</w:t>
      </w:r>
      <w:r>
        <w:rPr>
          <w:rFonts w:ascii="宋体" w:hAnsi="宋体" w:cs="宋体" w:eastAsia="宋体"/>
          <w:sz w:val="20"/>
          <w:b/>
        </w:rPr>
        <w:t>4）路由器技术指标要求</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1</w:t>
      </w:r>
      <w:r>
        <w:rPr>
          <w:rFonts w:ascii="宋体" w:hAnsi="宋体" w:cs="宋体" w:eastAsia="宋体"/>
          <w:sz w:val="20"/>
          <w:b/>
        </w:rPr>
        <w:t>4</w:t>
      </w:r>
      <w:r>
        <w:rPr>
          <w:rFonts w:ascii="宋体" w:hAnsi="宋体" w:cs="宋体" w:eastAsia="宋体"/>
          <w:sz w:val="20"/>
          <w:b/>
        </w:rPr>
        <w:t>）</w:t>
      </w:r>
    </w:p>
    <w:p>
      <w:pPr>
        <w:pStyle w:val="null3"/>
        <w:ind w:firstLine="480"/>
        <w:jc w:val="both"/>
      </w:pPr>
      <w:r>
        <w:rPr>
          <w:rFonts w:ascii="宋体" w:hAnsi="宋体" w:cs="宋体" w:eastAsia="宋体"/>
          <w:sz w:val="20"/>
        </w:rPr>
        <w:t>支持</w:t>
      </w:r>
      <w:r>
        <w:rPr>
          <w:rFonts w:ascii="宋体" w:hAnsi="宋体" w:cs="宋体" w:eastAsia="宋体"/>
          <w:sz w:val="20"/>
        </w:rPr>
        <w:t>WAN、WLAN、4G/5G等多网同时在线、多网备份切换；支持5G NR频段N78/N79/N41；支持4G LTE频段B1/B3/B5/B8/B34/B38/B39/B40/B41；支持VPDN、APN专网接入；支持IPSec、GRE、IPIP、PPTP、L2TP、OpenVPN 支持CA数字证书；不少于2个SIM卡座；不少于5*10/1000Mbps自适应LAN口；不少于1*10/1000Mbps自适应WAN/LAN口。</w:t>
      </w:r>
    </w:p>
    <w:p>
      <w:pPr>
        <w:pStyle w:val="null3"/>
        <w:ind w:firstLine="480"/>
        <w:jc w:val="both"/>
      </w:pPr>
      <w:r>
        <w:rPr>
          <w:rFonts w:ascii="宋体" w:hAnsi="宋体" w:cs="宋体" w:eastAsia="宋体"/>
          <w:sz w:val="20"/>
          <w:b/>
        </w:rPr>
        <w:t>★（5）本项目涉及的CPU芯片、操作系统和数据库要求。（需提供专项承诺）</w:t>
      </w:r>
    </w:p>
    <w:p>
      <w:pPr>
        <w:pStyle w:val="null3"/>
        <w:ind w:firstLine="480"/>
        <w:jc w:val="both"/>
      </w:pPr>
      <w:r>
        <w:rPr>
          <w:rFonts w:ascii="宋体" w:hAnsi="宋体" w:cs="宋体" w:eastAsia="宋体"/>
          <w:sz w:val="20"/>
        </w:rPr>
        <w:t>本项目涉及的</w:t>
      </w:r>
      <w:r>
        <w:rPr>
          <w:rFonts w:ascii="宋体" w:hAnsi="宋体" w:cs="宋体" w:eastAsia="宋体"/>
          <w:sz w:val="20"/>
        </w:rPr>
        <w:t>CPU芯片、操作系统和数据库应通过</w:t>
      </w:r>
      <w:r>
        <w:rPr>
          <w:rFonts w:ascii="宋体" w:hAnsi="宋体" w:cs="宋体" w:eastAsia="宋体"/>
          <w:sz w:val="20"/>
        </w:rPr>
        <w:t>安全可靠</w:t>
      </w:r>
      <w:r>
        <w:rPr>
          <w:rFonts w:ascii="宋体" w:hAnsi="宋体" w:cs="宋体" w:eastAsia="宋体"/>
          <w:sz w:val="20"/>
        </w:rPr>
        <w:t>测评。符合《台式计算机政府采购需求标准》（</w:t>
      </w:r>
      <w:r>
        <w:rPr>
          <w:rFonts w:ascii="宋体" w:hAnsi="宋体" w:cs="宋体" w:eastAsia="宋体"/>
          <w:sz w:val="20"/>
        </w:rPr>
        <w:t>2023年版）、《便携式计算机政府采购需求标准》（2023年版）、《一体式计算机政府采购需求标准》（2023年版）、《工作站政府采购需求标准》（2023年版）、《通用服务器政府采购需求标准》（2023年版）、《操作系统政府采购需求标准》（2023年版）、《数据库政府采购需求标准》（2023年版）。</w:t>
      </w:r>
    </w:p>
    <w:p>
      <w:pPr>
        <w:pStyle w:val="null3"/>
        <w:ind w:firstLine="482"/>
        <w:jc w:val="both"/>
      </w:pPr>
      <w:r>
        <w:rPr>
          <w:rFonts w:ascii="宋体" w:hAnsi="宋体" w:cs="宋体" w:eastAsia="宋体"/>
          <w:sz w:val="20"/>
          <w:b/>
        </w:rPr>
        <w:t>★3.底盘车辆要求（需提供</w:t>
      </w:r>
      <w:r>
        <w:rPr>
          <w:rFonts w:ascii="宋体" w:hAnsi="宋体" w:cs="宋体" w:eastAsia="宋体"/>
          <w:sz w:val="20"/>
          <w:b/>
        </w:rPr>
        <w:t>专项承诺</w:t>
      </w:r>
      <w:r>
        <w:rPr>
          <w:rFonts w:ascii="宋体" w:hAnsi="宋体" w:cs="宋体" w:eastAsia="宋体"/>
          <w:sz w:val="20"/>
          <w:b/>
        </w:rPr>
        <w:t>）</w:t>
      </w:r>
    </w:p>
    <w:p>
      <w:pPr>
        <w:pStyle w:val="null3"/>
        <w:ind w:firstLine="480"/>
        <w:jc w:val="both"/>
      </w:pPr>
      <w:r>
        <w:rPr>
          <w:rFonts w:ascii="宋体" w:hAnsi="宋体" w:cs="宋体" w:eastAsia="宋体"/>
          <w:sz w:val="20"/>
          <w:b/>
          <w:shd w:fill="FFFF00" w:val="clear"/>
        </w:rPr>
        <w:t>（</w:t>
      </w:r>
      <w:r>
        <w:rPr>
          <w:rFonts w:ascii="宋体" w:hAnsi="宋体" w:cs="宋体" w:eastAsia="宋体"/>
          <w:sz w:val="20"/>
          <w:b/>
          <w:shd w:fill="FFFF00" w:val="clear"/>
        </w:rPr>
        <w:t>1）基本要求</w:t>
      </w:r>
    </w:p>
    <w:p>
      <w:pPr>
        <w:pStyle w:val="null3"/>
        <w:ind w:firstLine="480"/>
        <w:jc w:val="both"/>
      </w:pPr>
      <w:r>
        <w:rPr>
          <w:rFonts w:ascii="宋体" w:hAnsi="宋体" w:cs="宋体" w:eastAsia="宋体"/>
          <w:sz w:val="20"/>
          <w:b/>
          <w:shd w:fill="FFFF00" w:val="clear"/>
        </w:rPr>
        <w:t>采购车辆须符合福建省公务用车配备更新审批凭证</w:t>
      </w:r>
      <w:r>
        <w:rPr>
          <w:rFonts w:ascii="宋体" w:hAnsi="宋体" w:cs="宋体" w:eastAsia="宋体"/>
          <w:sz w:val="20"/>
          <w:b/>
          <w:shd w:fill="FFFF00" w:val="clear"/>
        </w:rPr>
        <w:t>（</w:t>
      </w:r>
      <w:r>
        <w:rPr>
          <w:rFonts w:ascii="宋体" w:hAnsi="宋体" w:cs="宋体" w:eastAsia="宋体"/>
          <w:sz w:val="20"/>
          <w:b/>
          <w:shd w:fill="FFFF00" w:val="clear"/>
        </w:rPr>
        <w:t>第十类</w:t>
      </w:r>
      <w:r>
        <w:rPr>
          <w:rFonts w:ascii="宋体" w:hAnsi="宋体" w:cs="宋体" w:eastAsia="宋体"/>
          <w:sz w:val="20"/>
          <w:b/>
          <w:shd w:fill="FFFF00" w:val="clear"/>
        </w:rPr>
        <w:t>）</w:t>
      </w:r>
      <w:r>
        <w:rPr>
          <w:rFonts w:ascii="宋体" w:hAnsi="宋体" w:cs="宋体" w:eastAsia="宋体"/>
          <w:sz w:val="20"/>
          <w:b/>
          <w:shd w:fill="FFFF00" w:val="clear"/>
        </w:rPr>
        <w:t>（闽控第</w:t>
      </w:r>
      <w:r>
        <w:rPr>
          <w:rFonts w:ascii="宋体" w:hAnsi="宋体" w:cs="宋体" w:eastAsia="宋体"/>
          <w:sz w:val="20"/>
          <w:b/>
          <w:shd w:fill="FFFF00" w:val="clear"/>
        </w:rPr>
        <w:t>QT</w:t>
      </w:r>
      <w:r>
        <w:rPr>
          <w:rFonts w:ascii="宋体" w:hAnsi="宋体" w:cs="宋体" w:eastAsia="宋体"/>
          <w:sz w:val="20"/>
          <w:b/>
          <w:shd w:fill="FFFF00" w:val="clear"/>
        </w:rPr>
        <w:t>20241100191</w:t>
      </w:r>
      <w:r>
        <w:rPr>
          <w:rFonts w:ascii="宋体" w:hAnsi="宋体" w:cs="宋体" w:eastAsia="宋体"/>
          <w:sz w:val="20"/>
          <w:b/>
          <w:shd w:fill="FFFF00" w:val="clear"/>
        </w:rPr>
        <w:t>号）要求（需自行联系采购人了解审批凭证要求</w:t>
      </w:r>
      <w:r>
        <w:rPr>
          <w:rFonts w:ascii="宋体" w:hAnsi="宋体" w:cs="宋体" w:eastAsia="宋体"/>
          <w:sz w:val="20"/>
          <w:b/>
          <w:shd w:fill="FFFF00" w:val="clear"/>
        </w:rPr>
        <w:t>，</w:t>
      </w:r>
      <w:r>
        <w:rPr>
          <w:rFonts w:ascii="宋体" w:hAnsi="宋体" w:cs="宋体" w:eastAsia="宋体"/>
          <w:sz w:val="20"/>
          <w:b/>
          <w:shd w:fill="FFFF00" w:val="clear"/>
        </w:rPr>
        <w:t>联系人：卢先生，联系方式：</w:t>
      </w:r>
      <w:r>
        <w:rPr>
          <w:rFonts w:ascii="宋体" w:hAnsi="宋体" w:cs="宋体" w:eastAsia="宋体"/>
          <w:sz w:val="20"/>
          <w:b/>
          <w:shd w:fill="FFFF00" w:val="clear"/>
        </w:rPr>
        <w:t>18659990111</w:t>
      </w:r>
      <w:r>
        <w:rPr>
          <w:rFonts w:ascii="宋体" w:hAnsi="宋体" w:cs="宋体" w:eastAsia="宋体"/>
          <w:sz w:val="20"/>
          <w:b/>
          <w:shd w:fill="FFFF00" w:val="clear"/>
        </w:rPr>
        <w:t>）。</w:t>
      </w:r>
    </w:p>
    <w:p>
      <w:pPr>
        <w:pStyle w:val="null3"/>
        <w:ind w:firstLine="480"/>
        <w:jc w:val="both"/>
      </w:pPr>
      <w:r>
        <w:rPr>
          <w:rFonts w:ascii="宋体" w:hAnsi="宋体" w:cs="宋体" w:eastAsia="宋体"/>
          <w:sz w:val="20"/>
          <w:b/>
        </w:rPr>
        <w:t>（</w:t>
      </w:r>
      <w:r>
        <w:rPr>
          <w:rFonts w:ascii="宋体" w:hAnsi="宋体" w:cs="宋体" w:eastAsia="宋体"/>
          <w:sz w:val="20"/>
          <w:b/>
        </w:rPr>
        <w:t>2）其他要求</w:t>
      </w:r>
    </w:p>
    <w:p>
      <w:pPr>
        <w:pStyle w:val="null3"/>
        <w:ind w:firstLine="480"/>
        <w:jc w:val="both"/>
      </w:pPr>
      <w:r>
        <w:rPr>
          <w:rFonts w:ascii="宋体" w:hAnsi="宋体" w:cs="宋体" w:eastAsia="宋体"/>
          <w:sz w:val="20"/>
        </w:rPr>
        <w:t>1）优先采用SUV越野车型；</w:t>
      </w:r>
    </w:p>
    <w:p>
      <w:pPr>
        <w:pStyle w:val="null3"/>
        <w:ind w:firstLine="480"/>
        <w:jc w:val="both"/>
      </w:pPr>
      <w:r>
        <w:rPr>
          <w:rFonts w:ascii="宋体" w:hAnsi="宋体" w:cs="宋体" w:eastAsia="宋体"/>
          <w:sz w:val="20"/>
        </w:rPr>
        <w:t>2）车辆整备质量≥2150kg；</w:t>
      </w:r>
    </w:p>
    <w:p>
      <w:pPr>
        <w:pStyle w:val="null3"/>
        <w:ind w:firstLine="480"/>
        <w:jc w:val="both"/>
      </w:pPr>
      <w:r>
        <w:rPr>
          <w:rFonts w:ascii="宋体" w:hAnsi="宋体" w:cs="宋体" w:eastAsia="宋体"/>
          <w:sz w:val="20"/>
        </w:rPr>
        <w:t>3）排量≥2.49L；</w:t>
      </w:r>
    </w:p>
    <w:p>
      <w:pPr>
        <w:pStyle w:val="null3"/>
        <w:ind w:firstLine="480"/>
        <w:jc w:val="both"/>
      </w:pPr>
      <w:r>
        <w:rPr>
          <w:rFonts w:ascii="宋体" w:hAnsi="宋体" w:cs="宋体" w:eastAsia="宋体"/>
          <w:sz w:val="20"/>
        </w:rPr>
        <w:t>4）额定功率≥220kW、最大扭矩≥500N.m；</w:t>
      </w:r>
    </w:p>
    <w:p>
      <w:pPr>
        <w:pStyle w:val="null3"/>
        <w:ind w:firstLine="480"/>
        <w:jc w:val="both"/>
      </w:pPr>
      <w:r>
        <w:rPr>
          <w:rFonts w:ascii="宋体" w:hAnsi="宋体" w:cs="宋体" w:eastAsia="宋体"/>
          <w:sz w:val="20"/>
        </w:rPr>
        <w:t>5）车长≥5030mm、车高≥1770mm、车宽≥1980mm、轴距≥2980mm；</w:t>
      </w:r>
    </w:p>
    <w:p>
      <w:pPr>
        <w:pStyle w:val="null3"/>
        <w:ind w:firstLine="480"/>
        <w:jc w:val="both"/>
      </w:pPr>
      <w:r>
        <w:rPr>
          <w:rFonts w:ascii="宋体" w:hAnsi="宋体" w:cs="宋体" w:eastAsia="宋体"/>
          <w:sz w:val="20"/>
        </w:rPr>
        <w:t>6）驱动方式：智能四驱；</w:t>
      </w:r>
    </w:p>
    <w:p>
      <w:pPr>
        <w:pStyle w:val="null3"/>
        <w:ind w:firstLine="480"/>
        <w:jc w:val="both"/>
      </w:pPr>
      <w:r>
        <w:rPr>
          <w:rFonts w:ascii="宋体" w:hAnsi="宋体" w:cs="宋体" w:eastAsia="宋体"/>
          <w:sz w:val="20"/>
        </w:rPr>
        <w:t>7）能源类型及环保标准：汽油、国六；</w:t>
      </w:r>
    </w:p>
    <w:p>
      <w:pPr>
        <w:pStyle w:val="null3"/>
        <w:ind w:firstLine="480"/>
        <w:jc w:val="both"/>
      </w:pPr>
      <w:r>
        <w:rPr>
          <w:rFonts w:ascii="宋体" w:hAnsi="宋体" w:cs="宋体" w:eastAsia="宋体"/>
          <w:sz w:val="20"/>
        </w:rPr>
        <w:t>8）承载人数≥5人（含驾驶员），改装后≥</w:t>
      </w:r>
      <w:r>
        <w:rPr>
          <w:rFonts w:ascii="宋体" w:hAnsi="宋体" w:cs="宋体" w:eastAsia="宋体"/>
          <w:sz w:val="20"/>
        </w:rPr>
        <w:t>5</w:t>
      </w:r>
      <w:r>
        <w:rPr>
          <w:rFonts w:ascii="宋体" w:hAnsi="宋体" w:cs="宋体" w:eastAsia="宋体"/>
          <w:sz w:val="20"/>
        </w:rPr>
        <w:t>人（含驾驶员）。</w:t>
      </w:r>
    </w:p>
    <w:p>
      <w:pPr>
        <w:pStyle w:val="null3"/>
        <w:ind w:firstLine="482"/>
        <w:jc w:val="both"/>
      </w:pPr>
      <w:r>
        <w:rPr>
          <w:rFonts w:ascii="宋体" w:hAnsi="宋体" w:cs="宋体" w:eastAsia="宋体"/>
          <w:sz w:val="20"/>
          <w:b/>
        </w:rPr>
        <w:t>4.车辆改装要求</w:t>
      </w:r>
    </w:p>
    <w:p>
      <w:pPr>
        <w:pStyle w:val="null3"/>
        <w:ind w:firstLine="482"/>
        <w:jc w:val="both"/>
      </w:pPr>
      <w:r>
        <w:rPr>
          <w:rFonts w:ascii="宋体" w:hAnsi="宋体" w:cs="宋体" w:eastAsia="宋体"/>
          <w:sz w:val="20"/>
          <w:b/>
        </w:rPr>
        <w:t>★（1）总体要求（</w:t>
      </w:r>
      <w:r>
        <w:rPr>
          <w:rFonts w:ascii="宋体" w:hAnsi="宋体" w:cs="宋体" w:eastAsia="宋体"/>
          <w:sz w:val="20"/>
          <w:b/>
        </w:rPr>
        <w:t>第一项</w:t>
      </w:r>
      <w:r>
        <w:rPr>
          <w:rFonts w:ascii="宋体" w:hAnsi="宋体" w:cs="宋体" w:eastAsia="宋体"/>
          <w:sz w:val="20"/>
          <w:b/>
        </w:rPr>
        <w:t>需提供佐证材料</w:t>
      </w:r>
      <w:r>
        <w:rPr>
          <w:rFonts w:ascii="宋体" w:hAnsi="宋体" w:cs="宋体" w:eastAsia="宋体"/>
          <w:sz w:val="20"/>
          <w:b/>
        </w:rPr>
        <w:t>，</w:t>
      </w:r>
      <w:r>
        <w:rPr>
          <w:rFonts w:ascii="宋体" w:hAnsi="宋体" w:cs="宋体" w:eastAsia="宋体"/>
          <w:sz w:val="20"/>
          <w:b/>
        </w:rPr>
        <w:t>第二项</w:t>
      </w:r>
      <w:r>
        <w:rPr>
          <w:rFonts w:ascii="宋体" w:hAnsi="宋体" w:cs="宋体" w:eastAsia="宋体"/>
          <w:sz w:val="20"/>
          <w:b/>
        </w:rPr>
        <w:t>需提供</w:t>
      </w:r>
      <w:r>
        <w:rPr>
          <w:rFonts w:ascii="宋体" w:hAnsi="宋体" w:cs="宋体" w:eastAsia="宋体"/>
          <w:sz w:val="20"/>
          <w:b/>
        </w:rPr>
        <w:t>专项承诺</w:t>
      </w:r>
      <w:r>
        <w:rPr>
          <w:rFonts w:ascii="宋体" w:hAnsi="宋体" w:cs="宋体" w:eastAsia="宋体"/>
          <w:sz w:val="20"/>
          <w:b/>
        </w:rPr>
        <w:t>）</w:t>
      </w:r>
    </w:p>
    <w:p>
      <w:pPr>
        <w:pStyle w:val="null3"/>
        <w:ind w:firstLine="480"/>
        <w:jc w:val="both"/>
      </w:pPr>
      <w:r>
        <w:rPr>
          <w:rFonts w:ascii="宋体" w:hAnsi="宋体" w:cs="宋体" w:eastAsia="宋体"/>
          <w:sz w:val="20"/>
        </w:rPr>
        <w:t>1）</w:t>
      </w:r>
      <w:r>
        <w:rPr>
          <w:rFonts w:ascii="宋体" w:hAnsi="宋体" w:cs="宋体" w:eastAsia="宋体"/>
          <w:sz w:val="20"/>
        </w:rPr>
        <w:t>根据工信部、公安部和生态环境部对于特种车辆改装的特殊行业管理要求，供应商选择的车辆改装企业须具有相应的汽车改装资质和能力（需提供针对本项目的相应资料文件复印件并加盖车辆改装企业公章），包括但不限于：</w:t>
      </w:r>
      <w:r>
        <w:rPr>
          <w:rFonts w:ascii="宋体" w:hAnsi="宋体" w:cs="宋体" w:eastAsia="宋体"/>
          <w:sz w:val="20"/>
        </w:rPr>
        <w:t>①工信部装备工业发展中心的道路机动车辆生产企业信息查询网页截图；②相应工信部网上公告；③世界制造厂识别代号证书；④待改车辆整车制造商出具的针对该车辆改装企业的具体最新款车型整车环保授权或车辆改装企业提供其自行按相关国家法规完成改装后车辆在具有资格第三方检测机构进行环保参数测试和认证的承诺书（格式自拟）并在投标文件中提供车辆改装企业的《车辆环保测试技术实施方案》。</w:t>
      </w:r>
    </w:p>
    <w:p>
      <w:pPr>
        <w:pStyle w:val="null3"/>
        <w:ind w:firstLine="480"/>
        <w:jc w:val="both"/>
      </w:pPr>
      <w:r>
        <w:rPr>
          <w:rFonts w:ascii="宋体" w:hAnsi="宋体" w:cs="宋体" w:eastAsia="宋体"/>
          <w:sz w:val="20"/>
        </w:rPr>
        <w:t>2）</w:t>
      </w:r>
      <w:r>
        <w:rPr>
          <w:rFonts w:ascii="宋体" w:hAnsi="宋体" w:cs="宋体" w:eastAsia="宋体"/>
          <w:sz w:val="20"/>
        </w:rPr>
        <w:t>车辆改装完成后向国家相关部门办理相应手续，申请并取得国家工业和信息化部特种车辆公告号及机动车目录。车辆在交付使用时完整提供按照国家关于车辆方面相关规定的手续（包括但不限于：车辆型号铭牌、车辆发票、车辆合格证），保证可以在当地公安车辆管理部门办理车辆牌照及其他相关手续。</w:t>
      </w:r>
    </w:p>
    <w:p>
      <w:pPr>
        <w:pStyle w:val="null3"/>
        <w:ind w:firstLine="480"/>
        <w:jc w:val="both"/>
      </w:pPr>
      <w:r>
        <w:rPr>
          <w:rFonts w:ascii="宋体" w:hAnsi="宋体" w:cs="宋体" w:eastAsia="宋体"/>
          <w:sz w:val="20"/>
          <w:b/>
        </w:rPr>
        <w:t>（</w:t>
      </w:r>
      <w:r>
        <w:rPr>
          <w:rFonts w:ascii="宋体" w:hAnsi="宋体" w:cs="宋体" w:eastAsia="宋体"/>
          <w:sz w:val="20"/>
          <w:b/>
        </w:rPr>
        <w:t>2）通用要求</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1</w:t>
      </w:r>
      <w:r>
        <w:rPr>
          <w:rFonts w:ascii="宋体" w:hAnsi="宋体" w:cs="宋体" w:eastAsia="宋体"/>
          <w:sz w:val="20"/>
          <w:b/>
        </w:rPr>
        <w:t>5</w:t>
      </w:r>
      <w:r>
        <w:rPr>
          <w:rFonts w:ascii="宋体" w:hAnsi="宋体" w:cs="宋体" w:eastAsia="宋体"/>
          <w:sz w:val="20"/>
          <w:b/>
        </w:rPr>
        <w:t>）</w:t>
      </w:r>
    </w:p>
    <w:p>
      <w:pPr>
        <w:pStyle w:val="null3"/>
        <w:ind w:firstLine="480"/>
        <w:jc w:val="both"/>
      </w:pPr>
      <w:r>
        <w:rPr>
          <w:rFonts w:ascii="宋体" w:hAnsi="宋体" w:cs="宋体" w:eastAsia="宋体"/>
          <w:sz w:val="20"/>
        </w:rPr>
        <w:t>1）一般要求</w:t>
      </w:r>
    </w:p>
    <w:p>
      <w:pPr>
        <w:pStyle w:val="null3"/>
        <w:ind w:firstLine="480"/>
        <w:jc w:val="both"/>
      </w:pPr>
      <w:r>
        <w:rPr>
          <w:rFonts w:ascii="宋体" w:hAnsi="宋体" w:cs="宋体" w:eastAsia="宋体"/>
          <w:sz w:val="20"/>
        </w:rPr>
        <w:t>经集成后的装载平台，使用性能不能降低原车辆</w:t>
      </w:r>
      <w:r>
        <w:rPr>
          <w:rFonts w:ascii="宋体" w:hAnsi="宋体" w:cs="宋体" w:eastAsia="宋体"/>
          <w:sz w:val="20"/>
        </w:rPr>
        <w:t>/底盘的要求。车辆集成过程应符合国家相关标准和交通管理部门有关要求，应遵循如下文件或标准：QC/T934-2012《无线电监测车技术条件》、GB7258-2017《机动车运行安全技术条件》、GA802-2014《机动车类型、术语和定义》、GB1589-2016《汽车、挂车及汽车列车外廓尺寸、轴荷及质量限值》。</w:t>
      </w:r>
    </w:p>
    <w:p>
      <w:pPr>
        <w:pStyle w:val="null3"/>
        <w:ind w:firstLine="480"/>
        <w:jc w:val="both"/>
      </w:pPr>
      <w:r>
        <w:rPr>
          <w:rFonts w:ascii="宋体" w:hAnsi="宋体" w:cs="宋体" w:eastAsia="宋体"/>
          <w:sz w:val="20"/>
        </w:rPr>
        <w:t>车辆集成后保证不低于原汽车的各项规定性能指标。</w:t>
      </w:r>
    </w:p>
    <w:p>
      <w:pPr>
        <w:pStyle w:val="null3"/>
        <w:ind w:firstLine="480"/>
        <w:jc w:val="both"/>
      </w:pPr>
      <w:r>
        <w:rPr>
          <w:rFonts w:ascii="宋体" w:hAnsi="宋体" w:cs="宋体" w:eastAsia="宋体"/>
          <w:sz w:val="20"/>
        </w:rPr>
        <w:t>天线、设备等备件的储纳收藏巧妙合理规范。</w:t>
      </w:r>
    </w:p>
    <w:p>
      <w:pPr>
        <w:pStyle w:val="null3"/>
        <w:ind w:firstLine="480"/>
        <w:jc w:val="both"/>
      </w:pPr>
      <w:r>
        <w:rPr>
          <w:rFonts w:ascii="宋体" w:hAnsi="宋体" w:cs="宋体" w:eastAsia="宋体"/>
          <w:sz w:val="20"/>
        </w:rPr>
        <w:t>2）安全性要求</w:t>
      </w:r>
    </w:p>
    <w:p>
      <w:pPr>
        <w:pStyle w:val="null3"/>
        <w:ind w:firstLine="480"/>
        <w:jc w:val="both"/>
      </w:pPr>
      <w:r>
        <w:rPr>
          <w:rFonts w:ascii="宋体" w:hAnsi="宋体" w:cs="宋体" w:eastAsia="宋体"/>
          <w:sz w:val="20"/>
        </w:rPr>
        <w:t>移动监测车应具备安全及保护措施，保证乘员的安全；凡危险部位均应加防护和隔离装置，并有明显的标志；使用环保安全材料，以减少对人体的伤害。</w:t>
      </w:r>
    </w:p>
    <w:p>
      <w:pPr>
        <w:pStyle w:val="null3"/>
        <w:ind w:firstLine="480"/>
        <w:jc w:val="both"/>
      </w:pPr>
      <w:r>
        <w:rPr>
          <w:rFonts w:ascii="宋体" w:hAnsi="宋体" w:cs="宋体" w:eastAsia="宋体"/>
          <w:sz w:val="20"/>
        </w:rPr>
        <w:t>车辆在停止状态下使用时应具有良好的接地。</w:t>
      </w:r>
    </w:p>
    <w:p>
      <w:pPr>
        <w:pStyle w:val="null3"/>
        <w:ind w:firstLine="480"/>
        <w:jc w:val="both"/>
      </w:pPr>
      <w:r>
        <w:rPr>
          <w:rFonts w:ascii="宋体" w:hAnsi="宋体" w:cs="宋体" w:eastAsia="宋体"/>
          <w:sz w:val="20"/>
        </w:rPr>
        <w:t>3）可靠性要求</w:t>
      </w:r>
    </w:p>
    <w:p>
      <w:pPr>
        <w:pStyle w:val="null3"/>
        <w:ind w:firstLine="480"/>
        <w:jc w:val="both"/>
      </w:pPr>
      <w:r>
        <w:rPr>
          <w:rFonts w:ascii="宋体" w:hAnsi="宋体" w:cs="宋体" w:eastAsia="宋体"/>
          <w:sz w:val="20"/>
        </w:rPr>
        <w:t>车体集成完成后应进行整车性能测试，包括但不限于：监测测向效果测试、电子罗盘效果测试、供电系统测试、车辆承载测试、车辆行驶测试、车辆重心平衡测试、车辆淋雨测试、车辆振动测试等，并提交相应测试报告。</w:t>
      </w:r>
    </w:p>
    <w:p>
      <w:pPr>
        <w:pStyle w:val="null3"/>
        <w:ind w:firstLine="480"/>
        <w:jc w:val="both"/>
      </w:pPr>
      <w:r>
        <w:rPr>
          <w:rFonts w:ascii="宋体" w:hAnsi="宋体" w:cs="宋体" w:eastAsia="宋体"/>
          <w:sz w:val="20"/>
        </w:rPr>
        <w:t>4）集成要求</w:t>
      </w:r>
    </w:p>
    <w:p>
      <w:pPr>
        <w:pStyle w:val="null3"/>
        <w:ind w:firstLine="480"/>
        <w:jc w:val="both"/>
      </w:pPr>
      <w:r>
        <w:rPr>
          <w:rFonts w:ascii="宋体" w:hAnsi="宋体" w:cs="宋体" w:eastAsia="宋体"/>
          <w:sz w:val="20"/>
        </w:rPr>
        <w:t>车辆集成须遵循以下原则：</w:t>
      </w:r>
    </w:p>
    <w:p>
      <w:pPr>
        <w:pStyle w:val="null3"/>
        <w:ind w:firstLine="480"/>
        <w:jc w:val="both"/>
      </w:pPr>
      <w:r>
        <w:rPr>
          <w:rFonts w:ascii="宋体" w:hAnsi="宋体" w:cs="宋体" w:eastAsia="宋体"/>
          <w:sz w:val="20"/>
        </w:rPr>
        <w:t>①集成部分结构及与车架连接的合理性保持不变。集成后质量分配的合理性、左右承载的均匀性符合底盘轴载要求。集成后，整车总质量不得超过允许的最大总质量，轴载质量不超过允许的最大轴载质量。</w:t>
      </w:r>
    </w:p>
    <w:p>
      <w:pPr>
        <w:pStyle w:val="null3"/>
        <w:ind w:firstLine="480"/>
        <w:jc w:val="both"/>
      </w:pPr>
      <w:r>
        <w:rPr>
          <w:rFonts w:ascii="宋体" w:hAnsi="宋体" w:cs="宋体" w:eastAsia="宋体"/>
          <w:sz w:val="20"/>
        </w:rPr>
        <w:t>②采用合理的配重和减震，集成后的车辆保持原有的动力性和全面的安全舒适性。</w:t>
      </w:r>
    </w:p>
    <w:p>
      <w:pPr>
        <w:pStyle w:val="null3"/>
        <w:ind w:firstLine="480"/>
        <w:jc w:val="both"/>
      </w:pPr>
      <w:r>
        <w:rPr>
          <w:rFonts w:ascii="宋体" w:hAnsi="宋体" w:cs="宋体" w:eastAsia="宋体"/>
          <w:sz w:val="20"/>
        </w:rPr>
        <w:t>③重心位置应尽可能低，但必须留有车轮弹跳高度所需的空间。</w:t>
      </w:r>
    </w:p>
    <w:p>
      <w:pPr>
        <w:pStyle w:val="null3"/>
        <w:ind w:firstLine="480"/>
        <w:jc w:val="both"/>
      </w:pPr>
      <w:r>
        <w:rPr>
          <w:rFonts w:ascii="宋体" w:hAnsi="宋体" w:cs="宋体" w:eastAsia="宋体"/>
          <w:sz w:val="20"/>
        </w:rPr>
        <w:t>④集成后车辆外形尺寸不超过限值，车辆后悬不超过标准限值。</w:t>
      </w:r>
    </w:p>
    <w:p>
      <w:pPr>
        <w:pStyle w:val="null3"/>
        <w:ind w:firstLine="480"/>
        <w:jc w:val="both"/>
      </w:pPr>
      <w:r>
        <w:rPr>
          <w:rFonts w:ascii="宋体" w:hAnsi="宋体" w:cs="宋体" w:eastAsia="宋体"/>
          <w:sz w:val="20"/>
        </w:rPr>
        <w:t>⑤集成后的车辆应保证原底盘的维修、保养方便性。</w:t>
      </w:r>
    </w:p>
    <w:p>
      <w:pPr>
        <w:pStyle w:val="null3"/>
        <w:ind w:firstLine="480"/>
        <w:jc w:val="both"/>
      </w:pPr>
      <w:r>
        <w:rPr>
          <w:rFonts w:ascii="宋体" w:hAnsi="宋体" w:cs="宋体" w:eastAsia="宋体"/>
          <w:sz w:val="20"/>
        </w:rPr>
        <w:t>⑥集成后的车辆满足国家现行法规要求。</w:t>
      </w:r>
    </w:p>
    <w:p>
      <w:pPr>
        <w:pStyle w:val="null3"/>
        <w:ind w:firstLine="482"/>
        <w:jc w:val="both"/>
      </w:pPr>
      <w:r>
        <w:rPr>
          <w:rFonts w:ascii="宋体" w:hAnsi="宋体" w:cs="宋体" w:eastAsia="宋体"/>
          <w:sz w:val="20"/>
        </w:rPr>
        <w:t>▲</w:t>
      </w:r>
      <w:r>
        <w:rPr>
          <w:rFonts w:ascii="宋体" w:hAnsi="宋体" w:cs="宋体" w:eastAsia="宋体"/>
          <w:sz w:val="20"/>
          <w:b/>
        </w:rPr>
        <w:t>（</w:t>
      </w:r>
      <w:r>
        <w:rPr>
          <w:rFonts w:ascii="宋体" w:hAnsi="宋体" w:cs="宋体" w:eastAsia="宋体"/>
          <w:sz w:val="20"/>
          <w:b/>
        </w:rPr>
        <w:t>3）项目电磁兼容性设计要求</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1</w:t>
      </w:r>
      <w:r>
        <w:rPr>
          <w:rFonts w:ascii="宋体" w:hAnsi="宋体" w:cs="宋体" w:eastAsia="宋体"/>
          <w:sz w:val="20"/>
          <w:b/>
        </w:rPr>
        <w:t>6</w:t>
      </w:r>
      <w:r>
        <w:rPr>
          <w:rFonts w:ascii="宋体" w:hAnsi="宋体" w:cs="宋体" w:eastAsia="宋体"/>
          <w:sz w:val="20"/>
          <w:b/>
        </w:rPr>
        <w:t>）</w:t>
      </w:r>
    </w:p>
    <w:p>
      <w:pPr>
        <w:pStyle w:val="null3"/>
        <w:ind w:firstLine="480"/>
        <w:jc w:val="both"/>
      </w:pPr>
      <w:r>
        <w:rPr>
          <w:rFonts w:ascii="宋体" w:hAnsi="宋体" w:cs="宋体" w:eastAsia="宋体"/>
          <w:sz w:val="20"/>
        </w:rPr>
        <w:t>1）车辆集成及车内设备布局应充分考虑电磁屏蔽，包括电磁干扰和抗电磁干扰两个方面，</w:t>
      </w:r>
      <w:r>
        <w:rPr>
          <w:rFonts w:ascii="宋体" w:hAnsi="宋体" w:cs="宋体" w:eastAsia="宋体"/>
          <w:sz w:val="20"/>
          <w:b/>
        </w:rPr>
        <w:t>需提供关于电磁干扰和抗干扰的详细技术说明与实现原理。</w:t>
      </w:r>
    </w:p>
    <w:p>
      <w:pPr>
        <w:pStyle w:val="null3"/>
        <w:ind w:firstLine="480"/>
        <w:jc w:val="both"/>
      </w:pPr>
      <w:r>
        <w:rPr>
          <w:rFonts w:ascii="宋体" w:hAnsi="宋体" w:cs="宋体" w:eastAsia="宋体"/>
          <w:sz w:val="20"/>
          <w:b/>
        </w:rPr>
        <w:t>2）电磁兼容性设计。对于车载电源设备、网络设备、工控机等容易导致电磁辐射的设备，需要在投标方案中详细描述设备电磁兼容设计方案（包括但不限于车内设备布局电磁屏蔽、电磁兼容技术说明、电磁兼容验证方法），并且提供测试数据，用以论证设备装车后对外的电磁辐射能够低于《省级无线电监测设施建设规范和技术要求（试行）》中监测设备接收灵敏度≤15dBμV/m（20MHz～3000MHz）的要求。</w:t>
      </w:r>
      <w:r>
        <w:rPr>
          <w:rFonts w:ascii="宋体" w:hAnsi="宋体" w:cs="宋体" w:eastAsia="宋体"/>
          <w:sz w:val="20"/>
        </w:rPr>
        <w:t>为证明投标人对于监测车的电磁兼容设计能力，需提供国家认可检测机构出具的具有</w:t>
      </w:r>
      <w:r>
        <w:rPr>
          <w:rFonts w:ascii="宋体" w:hAnsi="宋体" w:cs="宋体" w:eastAsia="宋体"/>
          <w:sz w:val="20"/>
        </w:rPr>
        <w:t>CMA或CNAS标识的与本项目同类车型（SUV越野车）的整车电磁兼容测试报告。检测标准为：GB34660-2017《道路车辆电磁兼容性要求和试验方法》的报告需包含车辆宽带辐射发射特性与车辆窄带辐射发射特性测试结果曲线，并处于≤15dBμV/m（20MHz～3000MHz）限值之下。</w:t>
      </w:r>
    </w:p>
    <w:p>
      <w:pPr>
        <w:pStyle w:val="null3"/>
        <w:ind w:firstLine="482"/>
        <w:jc w:val="both"/>
      </w:pPr>
      <w:r>
        <w:rPr>
          <w:rFonts w:ascii="宋体" w:hAnsi="宋体" w:cs="宋体" w:eastAsia="宋体"/>
          <w:sz w:val="20"/>
          <w:b/>
        </w:rPr>
        <w:t>（</w:t>
      </w:r>
      <w:r>
        <w:rPr>
          <w:rFonts w:ascii="宋体" w:hAnsi="宋体" w:cs="宋体" w:eastAsia="宋体"/>
          <w:sz w:val="20"/>
          <w:b/>
        </w:rPr>
        <w:t>4）设备布局及布线要求</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1</w:t>
      </w:r>
      <w:r>
        <w:rPr>
          <w:rFonts w:ascii="宋体" w:hAnsi="宋体" w:cs="宋体" w:eastAsia="宋体"/>
          <w:sz w:val="20"/>
          <w:b/>
        </w:rPr>
        <w:t>7</w:t>
      </w:r>
      <w:r>
        <w:rPr>
          <w:rFonts w:ascii="宋体" w:hAnsi="宋体" w:cs="宋体" w:eastAsia="宋体"/>
          <w:sz w:val="20"/>
          <w:b/>
        </w:rPr>
        <w:t>）</w:t>
      </w:r>
    </w:p>
    <w:p>
      <w:pPr>
        <w:pStyle w:val="null3"/>
        <w:ind w:firstLine="480"/>
        <w:jc w:val="both"/>
      </w:pPr>
      <w:r>
        <w:rPr>
          <w:rFonts w:ascii="宋体" w:hAnsi="宋体" w:cs="宋体" w:eastAsia="宋体"/>
          <w:sz w:val="20"/>
        </w:rPr>
        <w:t>1）布局要求</w:t>
      </w:r>
    </w:p>
    <w:p>
      <w:pPr>
        <w:pStyle w:val="null3"/>
        <w:ind w:firstLine="480"/>
        <w:jc w:val="both"/>
      </w:pPr>
      <w:r>
        <w:rPr>
          <w:rFonts w:ascii="宋体" w:hAnsi="宋体" w:cs="宋体" w:eastAsia="宋体"/>
          <w:sz w:val="20"/>
        </w:rPr>
        <w:t>天线之间的隔离度应符合相关设备的要求。车内设备布局应满足以下要求：在保证载荷分布合理的情况下，应将设备之间的相互干扰控制在允许的范围内，强辐射设备与敏感设备应相互远离，敏感设备的安装应避开车厢的门、窗和孔口；发射设备应靠近天线以缩短馈线长度。</w:t>
      </w:r>
    </w:p>
    <w:p>
      <w:pPr>
        <w:pStyle w:val="null3"/>
        <w:ind w:firstLine="480"/>
        <w:jc w:val="both"/>
      </w:pPr>
      <w:r>
        <w:rPr>
          <w:rFonts w:ascii="宋体" w:hAnsi="宋体" w:cs="宋体" w:eastAsia="宋体"/>
          <w:sz w:val="20"/>
        </w:rPr>
        <w:t>2）导线、电缆的选用要求</w:t>
      </w:r>
    </w:p>
    <w:p>
      <w:pPr>
        <w:pStyle w:val="null3"/>
        <w:ind w:firstLine="480"/>
        <w:jc w:val="both"/>
      </w:pPr>
      <w:r>
        <w:rPr>
          <w:rFonts w:ascii="宋体" w:hAnsi="宋体" w:cs="宋体" w:eastAsia="宋体"/>
          <w:sz w:val="20"/>
        </w:rPr>
        <w:t>选用导线、电缆时应根据传输信号的功率电平、频率范围和车内电磁环境等要求来确定；与高频信号或宽带阻抗匹配时，应依据频率高低和功率大小选用相应的同轴电缆；车内有较强辐射源时，传输低频信号的线缆应选用屏蔽双绞线；干扰强的电源线应选用屏蔽电缆；外部电源线线缆需要时应采取必要的屏蔽措施。</w:t>
      </w:r>
    </w:p>
    <w:p>
      <w:pPr>
        <w:pStyle w:val="null3"/>
        <w:ind w:firstLine="480"/>
        <w:jc w:val="both"/>
      </w:pPr>
      <w:r>
        <w:rPr>
          <w:rFonts w:ascii="宋体" w:hAnsi="宋体" w:cs="宋体" w:eastAsia="宋体"/>
          <w:sz w:val="20"/>
        </w:rPr>
        <w:t>3）滤波</w:t>
      </w:r>
    </w:p>
    <w:p>
      <w:pPr>
        <w:pStyle w:val="null3"/>
        <w:ind w:firstLine="480"/>
        <w:jc w:val="both"/>
      </w:pPr>
      <w:r>
        <w:rPr>
          <w:rFonts w:ascii="宋体" w:hAnsi="宋体" w:cs="宋体" w:eastAsia="宋体"/>
          <w:sz w:val="20"/>
        </w:rPr>
        <w:t>电源输入端应有抑制共模干扰和差模干扰的滤波器；当车内电磁环境较复杂时，开关电源分配组各设备的直流供电输出口应有电源滤波器；信号输入输出口应有模拟或数字信号滤波器。</w:t>
      </w:r>
    </w:p>
    <w:p>
      <w:pPr>
        <w:pStyle w:val="null3"/>
        <w:ind w:firstLine="480"/>
        <w:jc w:val="both"/>
      </w:pPr>
      <w:r>
        <w:rPr>
          <w:rFonts w:ascii="宋体" w:hAnsi="宋体" w:cs="宋体" w:eastAsia="宋体"/>
          <w:sz w:val="20"/>
        </w:rPr>
        <w:t>4）走线要求</w:t>
      </w:r>
    </w:p>
    <w:p>
      <w:pPr>
        <w:pStyle w:val="null3"/>
        <w:ind w:firstLine="480"/>
        <w:jc w:val="both"/>
      </w:pPr>
      <w:r>
        <w:rPr>
          <w:rFonts w:ascii="宋体" w:hAnsi="宋体" w:cs="宋体" w:eastAsia="宋体"/>
          <w:sz w:val="20"/>
        </w:rPr>
        <w:t>导线和电缆一般应布设在走线钢带或走线槽内，必要处应加保护措施，避免与粗糙及不规则的表面和金属边角接触。导线和电缆的长度应留有适当的余量，以便操作和维修。布线中并行的导线除有明确规定外不允许绞合。所有机柜在工厂中作好内部连线，内部电缆和连接头种类包括信号、监控、遥控、电源分配等等。</w:t>
      </w:r>
    </w:p>
    <w:p>
      <w:pPr>
        <w:pStyle w:val="null3"/>
        <w:ind w:firstLine="480"/>
        <w:jc w:val="both"/>
      </w:pPr>
      <w:r>
        <w:rPr>
          <w:rFonts w:ascii="宋体" w:hAnsi="宋体" w:cs="宋体" w:eastAsia="宋体"/>
          <w:sz w:val="20"/>
        </w:rPr>
        <w:t>5）接口要求</w:t>
      </w:r>
    </w:p>
    <w:p>
      <w:pPr>
        <w:pStyle w:val="null3"/>
        <w:ind w:firstLine="480"/>
        <w:jc w:val="both"/>
      </w:pPr>
      <w:r>
        <w:rPr>
          <w:rFonts w:ascii="宋体" w:hAnsi="宋体" w:cs="宋体" w:eastAsia="宋体"/>
          <w:sz w:val="20"/>
        </w:rPr>
        <w:t>改装后车内部设备接口（或光接口）应符合有关标准规定，并满足车内各设备之间互连的接口要求；应具有对外互连接口，接口种类根据实际需求可包括视音频接口、有线电话接口、数据接口等。</w:t>
      </w:r>
    </w:p>
    <w:p>
      <w:pPr>
        <w:pStyle w:val="null3"/>
        <w:ind w:firstLine="482"/>
        <w:jc w:val="both"/>
      </w:pPr>
      <w:r>
        <w:rPr>
          <w:rFonts w:ascii="宋体" w:hAnsi="宋体" w:cs="宋体" w:eastAsia="宋体"/>
          <w:sz w:val="20"/>
          <w:b/>
        </w:rPr>
        <w:t>（</w:t>
      </w:r>
      <w:r>
        <w:rPr>
          <w:rFonts w:ascii="宋体" w:hAnsi="宋体" w:cs="宋体" w:eastAsia="宋体"/>
          <w:sz w:val="20"/>
          <w:b/>
        </w:rPr>
        <w:t>5）装车设备及改装要求</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1</w:t>
      </w:r>
      <w:r>
        <w:rPr>
          <w:rFonts w:ascii="宋体" w:hAnsi="宋体" w:cs="宋体" w:eastAsia="宋体"/>
          <w:sz w:val="20"/>
          <w:b/>
        </w:rPr>
        <w:t>8</w:t>
      </w:r>
      <w:r>
        <w:rPr>
          <w:rFonts w:ascii="宋体" w:hAnsi="宋体" w:cs="宋体" w:eastAsia="宋体"/>
          <w:sz w:val="20"/>
          <w:b/>
        </w:rPr>
        <w:t>）</w:t>
      </w:r>
    </w:p>
    <w:p>
      <w:pPr>
        <w:pStyle w:val="null3"/>
        <w:ind w:firstLine="480"/>
        <w:jc w:val="both"/>
      </w:pPr>
      <w:r>
        <w:rPr>
          <w:rFonts w:ascii="宋体" w:hAnsi="宋体" w:cs="宋体" w:eastAsia="宋体"/>
          <w:sz w:val="20"/>
        </w:rPr>
        <w:t>1）设备安全性：装车设备的安全性要求应参照《军用通信车通用规范》（GJB 219B-2005）中3.12“安全性”章节所述规定，保证对人员不造成伤害，对其他设备的正常工作不产生影响。</w:t>
      </w:r>
    </w:p>
    <w:p>
      <w:pPr>
        <w:pStyle w:val="null3"/>
        <w:ind w:firstLine="480"/>
        <w:jc w:val="both"/>
      </w:pPr>
      <w:r>
        <w:rPr>
          <w:rFonts w:ascii="宋体" w:hAnsi="宋体" w:cs="宋体" w:eastAsia="宋体"/>
          <w:sz w:val="20"/>
        </w:rPr>
        <w:t>设备保障性：装车设备应提供设备使用说明书、技术说明书和维修手册等技术资料；提供必要的备件、附件；需要包装的设备和备件的包装应合理，并能满足规定的运输要求。</w:t>
      </w:r>
    </w:p>
    <w:p>
      <w:pPr>
        <w:pStyle w:val="null3"/>
        <w:ind w:firstLine="480"/>
        <w:jc w:val="both"/>
      </w:pPr>
      <w:r>
        <w:rPr>
          <w:rFonts w:ascii="宋体" w:hAnsi="宋体" w:cs="宋体" w:eastAsia="宋体"/>
          <w:sz w:val="20"/>
        </w:rPr>
        <w:t>2）车外改装要求</w:t>
      </w:r>
    </w:p>
    <w:p>
      <w:pPr>
        <w:pStyle w:val="null3"/>
        <w:ind w:firstLine="480"/>
        <w:jc w:val="both"/>
      </w:pPr>
      <w:r>
        <w:rPr>
          <w:rFonts w:ascii="宋体" w:hAnsi="宋体" w:cs="宋体" w:eastAsia="宋体"/>
          <w:sz w:val="20"/>
        </w:rPr>
        <w:t>在车顶加装车顶平台，用于安装监测测向天线及电动倒伏装置等。各监测、测向天线彼此之间的安装位置需同时考虑车顶应力及电磁兼容要求</w:t>
      </w:r>
      <w:r>
        <w:rPr>
          <w:rFonts w:ascii="宋体" w:hAnsi="宋体" w:cs="宋体" w:eastAsia="宋体"/>
          <w:sz w:val="20"/>
          <w:b/>
        </w:rPr>
        <w:t>（须提供详细的技术论证及数据说明）</w:t>
      </w:r>
      <w:r>
        <w:rPr>
          <w:rFonts w:ascii="宋体" w:hAnsi="宋体" w:cs="宋体" w:eastAsia="宋体"/>
          <w:sz w:val="20"/>
        </w:rPr>
        <w:t>。对车顶开孔处和天线罩底部进行有效防水处理。在车辆侧后方加装隐蔽式可收叠充电口，距离地面高度不得低于</w:t>
      </w:r>
      <w:r>
        <w:rPr>
          <w:rFonts w:ascii="宋体" w:hAnsi="宋体" w:cs="宋体" w:eastAsia="宋体"/>
          <w:sz w:val="20"/>
        </w:rPr>
        <w:t>800mm。</w:t>
      </w:r>
    </w:p>
    <w:p>
      <w:pPr>
        <w:pStyle w:val="null3"/>
        <w:ind w:firstLine="480"/>
        <w:jc w:val="both"/>
      </w:pPr>
      <w:r>
        <w:rPr>
          <w:rFonts w:ascii="宋体" w:hAnsi="宋体" w:cs="宋体" w:eastAsia="宋体"/>
          <w:sz w:val="20"/>
        </w:rPr>
        <w:t>3）车内改装要求</w:t>
      </w:r>
    </w:p>
    <w:p>
      <w:pPr>
        <w:pStyle w:val="null3"/>
        <w:ind w:firstLine="480"/>
        <w:jc w:val="both"/>
      </w:pPr>
      <w:r>
        <w:rPr>
          <w:rFonts w:ascii="宋体" w:hAnsi="宋体" w:cs="宋体" w:eastAsia="宋体"/>
          <w:sz w:val="20"/>
        </w:rPr>
        <w:t>根据车型结构在车尾安装设备机柜，并预留一定空间用于放置其它附属设备，如备胎、线缆盘、不锈钢灭火器等。机柜要求结构稳定可靠、安装方便、可维修性好，贯彻标准化、系列化、模块化设计；在满足设备安装的情况下，尽可能做到体积小、重量轻。机柜尺寸应符合</w:t>
      </w:r>
      <w:r>
        <w:rPr>
          <w:rFonts w:ascii="宋体" w:hAnsi="宋体" w:cs="宋体" w:eastAsia="宋体"/>
          <w:sz w:val="20"/>
        </w:rPr>
        <w:t>GB3047.1-82《面板、架和柜的尺寸系列》要求；机柜底部安装孔周围结构牢固、可靠。机柜的结构设计中留有合理的线缆走线位置。</w:t>
      </w:r>
    </w:p>
    <w:p>
      <w:pPr>
        <w:pStyle w:val="null3"/>
        <w:ind w:firstLine="482"/>
        <w:jc w:val="both"/>
      </w:pPr>
      <w:r>
        <w:rPr>
          <w:rFonts w:ascii="宋体" w:hAnsi="宋体" w:cs="宋体" w:eastAsia="宋体"/>
          <w:sz w:val="20"/>
          <w:b/>
        </w:rPr>
        <w:t>（</w:t>
      </w:r>
      <w:r>
        <w:rPr>
          <w:rFonts w:ascii="宋体" w:hAnsi="宋体" w:cs="宋体" w:eastAsia="宋体"/>
          <w:sz w:val="20"/>
          <w:b/>
        </w:rPr>
        <w:t>6）车辆电源要求</w:t>
      </w:r>
      <w:r>
        <w:rPr>
          <w:rFonts w:ascii="宋体" w:hAnsi="宋体" w:cs="宋体" w:eastAsia="宋体"/>
          <w:sz w:val="20"/>
          <w:b/>
        </w:rPr>
        <w:t>（</w:t>
      </w:r>
      <w:r>
        <w:rPr>
          <w:rFonts w:ascii="宋体" w:hAnsi="宋体" w:cs="宋体" w:eastAsia="宋体"/>
          <w:sz w:val="20"/>
          <w:b/>
        </w:rPr>
        <w:t>评审项</w:t>
      </w:r>
      <w:r>
        <w:rPr>
          <w:rFonts w:ascii="宋体" w:hAnsi="宋体" w:cs="宋体" w:eastAsia="宋体"/>
          <w:sz w:val="20"/>
          <w:b/>
        </w:rPr>
        <w:t>1</w:t>
      </w:r>
      <w:r>
        <w:rPr>
          <w:rFonts w:ascii="宋体" w:hAnsi="宋体" w:cs="宋体" w:eastAsia="宋体"/>
          <w:sz w:val="20"/>
          <w:b/>
        </w:rPr>
        <w:t>9</w:t>
      </w:r>
      <w:r>
        <w:rPr>
          <w:rFonts w:ascii="宋体" w:hAnsi="宋体" w:cs="宋体" w:eastAsia="宋体"/>
          <w:sz w:val="20"/>
          <w:b/>
        </w:rPr>
        <w:t>）</w:t>
      </w:r>
    </w:p>
    <w:p>
      <w:pPr>
        <w:pStyle w:val="null3"/>
        <w:ind w:firstLine="480"/>
        <w:jc w:val="both"/>
      </w:pPr>
      <w:r>
        <w:rPr>
          <w:rFonts w:ascii="宋体" w:hAnsi="宋体" w:cs="宋体" w:eastAsia="宋体"/>
          <w:sz w:val="20"/>
        </w:rPr>
        <w:t>提供电池组、市电和汽车发动机三种供电方式，供电功率可满足整套系统满负荷工作总功率的两倍以上，通过电源控制器为设备提供无间断稳定可靠供电。电池组在外部供电和发电机断电后，可为监测测向系统提供持续时间不少于</w:t>
      </w:r>
      <w:r>
        <w:rPr>
          <w:rFonts w:ascii="宋体" w:hAnsi="宋体" w:cs="宋体" w:eastAsia="宋体"/>
          <w:sz w:val="20"/>
        </w:rPr>
        <w:t>4小时的储备电量。</w:t>
      </w:r>
    </w:p>
    <w:p>
      <w:pPr>
        <w:pStyle w:val="null3"/>
        <w:ind w:firstLine="480"/>
        <w:jc w:val="both"/>
      </w:pPr>
      <w:r>
        <w:rPr>
          <w:rFonts w:ascii="宋体" w:hAnsi="宋体" w:cs="宋体" w:eastAsia="宋体"/>
          <w:sz w:val="20"/>
        </w:rPr>
        <w:t>车载电源系统需具备外接市电限流功能：为了防止外接市电时负载过大导致市电跳闸，需要电源系统具有外接市电限流功能，并且电流限值可以根据实际情况进行设置。</w:t>
      </w:r>
    </w:p>
    <w:p>
      <w:pPr>
        <w:pStyle w:val="null3"/>
        <w:ind w:firstLine="480"/>
        <w:jc w:val="both"/>
      </w:pPr>
      <w:r>
        <w:rPr>
          <w:rFonts w:ascii="宋体" w:hAnsi="宋体" w:cs="宋体" w:eastAsia="宋体"/>
          <w:sz w:val="20"/>
        </w:rPr>
        <w:t>车载电源系统需具备用电设备自动化开关机功能：电源系统能够在开机时自动按照预置顺序对交换机、路由器、工控机、接收机等设备进行分时上电，并且能够显示设备是否开机成功；在关机时，电源系统能够自动按照预置顺序对设备进行分时关机；对于工控机等带有操作系统的设备，能够通过关机指令进行正常关机，而不是直接断电关机，需提供详细的技术论证及数据说明。</w:t>
      </w:r>
    </w:p>
    <w:p>
      <w:pPr>
        <w:pStyle w:val="null3"/>
        <w:ind w:firstLine="480"/>
        <w:jc w:val="both"/>
      </w:pPr>
      <w:r>
        <w:rPr>
          <w:rFonts w:ascii="宋体" w:hAnsi="宋体" w:cs="宋体" w:eastAsia="宋体"/>
          <w:sz w:val="20"/>
          <w:b/>
        </w:rPr>
        <w:t>★4.其他技术要求</w:t>
      </w:r>
      <w:r>
        <w:rPr>
          <w:rFonts w:ascii="宋体" w:hAnsi="宋体" w:cs="宋体" w:eastAsia="宋体"/>
          <w:sz w:val="20"/>
          <w:b/>
        </w:rPr>
        <w:t>（需提供专项承诺）</w:t>
      </w:r>
    </w:p>
    <w:p>
      <w:pPr>
        <w:pStyle w:val="null3"/>
        <w:ind w:firstLine="480"/>
        <w:jc w:val="both"/>
      </w:pPr>
      <w:r>
        <w:rPr>
          <w:rFonts w:ascii="宋体" w:hAnsi="宋体" w:cs="宋体" w:eastAsia="宋体"/>
          <w:sz w:val="20"/>
        </w:rPr>
        <w:t>1）投标人提供的二类移动监测站应适配现部署于厦门市无线电管理一体化平台的监测应用软件，具备原子化服务封装，其设计原则应满足相关技术规定。</w:t>
      </w:r>
      <w:r>
        <w:rPr>
          <w:rFonts w:ascii="宋体" w:hAnsi="宋体" w:cs="宋体" w:eastAsia="宋体"/>
          <w:sz w:val="20"/>
          <w:b/>
        </w:rPr>
        <w:t>一是</w:t>
      </w:r>
      <w:r>
        <w:rPr>
          <w:rFonts w:ascii="宋体" w:hAnsi="宋体" w:cs="宋体" w:eastAsia="宋体"/>
          <w:sz w:val="20"/>
        </w:rPr>
        <w:t>满足《超短波监测管理一体化平台技术规范第</w:t>
      </w:r>
      <w:r>
        <w:rPr>
          <w:rFonts w:ascii="宋体" w:hAnsi="宋体" w:cs="宋体" w:eastAsia="宋体"/>
          <w:sz w:val="20"/>
        </w:rPr>
        <w:t>3部分：设备操作服务》的技术规定，实现技术规范规定的所有设备操作服务；</w:t>
      </w:r>
      <w:r>
        <w:rPr>
          <w:rFonts w:ascii="宋体" w:hAnsi="宋体" w:cs="宋体" w:eastAsia="宋体"/>
          <w:sz w:val="20"/>
          <w:b/>
        </w:rPr>
        <w:t>二是</w:t>
      </w:r>
      <w:r>
        <w:rPr>
          <w:rFonts w:ascii="宋体" w:hAnsi="宋体" w:cs="宋体" w:eastAsia="宋体"/>
          <w:sz w:val="20"/>
        </w:rPr>
        <w:t>监测设备服务和接口设计应满足《超短波监测管理一体化平台技术规范第</w:t>
      </w:r>
      <w:r>
        <w:rPr>
          <w:rFonts w:ascii="宋体" w:hAnsi="宋体" w:cs="宋体" w:eastAsia="宋体"/>
          <w:sz w:val="20"/>
        </w:rPr>
        <w:t>2部分：服务设计》关于服务总结点编码规则和服务接口命名规则的技术规定；</w:t>
      </w:r>
      <w:r>
        <w:rPr>
          <w:rFonts w:ascii="宋体" w:hAnsi="宋体" w:cs="宋体" w:eastAsia="宋体"/>
          <w:sz w:val="20"/>
          <w:b/>
        </w:rPr>
        <w:t>三是</w:t>
      </w:r>
      <w:r>
        <w:rPr>
          <w:rFonts w:ascii="宋体" w:hAnsi="宋体" w:cs="宋体" w:eastAsia="宋体"/>
          <w:sz w:val="20"/>
        </w:rPr>
        <w:t>监测设备服务改造应基于设备层级开发，即在设备原生驱动或协议基础上封装，而不能在上层应用或其他协议层级封装；</w:t>
      </w:r>
      <w:r>
        <w:rPr>
          <w:rFonts w:ascii="宋体" w:hAnsi="宋体" w:cs="宋体" w:eastAsia="宋体"/>
          <w:sz w:val="20"/>
          <w:b/>
        </w:rPr>
        <w:t>四是</w:t>
      </w:r>
      <w:r>
        <w:rPr>
          <w:rFonts w:ascii="宋体" w:hAnsi="宋体" w:cs="宋体" w:eastAsia="宋体"/>
          <w:sz w:val="20"/>
        </w:rPr>
        <w:t>设备原子化服务改造应通过第三方机构的评测（包含</w:t>
      </w:r>
      <w:r>
        <w:rPr>
          <w:rFonts w:ascii="宋体" w:hAnsi="宋体" w:cs="宋体" w:eastAsia="宋体"/>
          <w:sz w:val="20"/>
        </w:rPr>
        <w:t>stream和FTP两种模式）。</w:t>
      </w:r>
    </w:p>
    <w:p>
      <w:pPr>
        <w:pStyle w:val="null3"/>
        <w:ind w:firstLine="480"/>
        <w:jc w:val="both"/>
      </w:pPr>
      <w:r>
        <w:rPr>
          <w:rFonts w:ascii="宋体" w:hAnsi="宋体" w:cs="宋体" w:eastAsia="宋体"/>
          <w:sz w:val="20"/>
        </w:rPr>
        <w:t>2）产品交付时须提供产品经具有CMA或CNAS资质的第三方检测机构出具的测试报告，检测报告上须带有CMA或CNAS标志。投标人需承诺选取的第三方测试验证机构应符合工业和信息化部《无线电监测设施测试验证工作规定（试行）》（工信部无〔2017〕283号）有关规定，并征得采购人书面认可。采购人有权委托具有CMA或CNAS资质的第三方检测机构对部分指标进行抽测，并以抽测结果是否合格作为是否进行验收的依据。测试验证、指标抽测等性能测试费用由投标人承担，含在投标总价中。</w:t>
      </w:r>
    </w:p>
    <w:p>
      <w:pPr>
        <w:pStyle w:val="null3"/>
        <w:ind w:firstLine="480"/>
        <w:jc w:val="both"/>
      </w:pPr>
      <w:r>
        <w:rPr>
          <w:rFonts w:ascii="宋体" w:hAnsi="宋体" w:cs="宋体" w:eastAsia="宋体"/>
          <w:sz w:val="20"/>
        </w:rPr>
        <w:t>3）监测接收机的性能指标检测：投标人需承诺到货验收前需提供具有CMA或CNAS资质的第三方检测机构按GB/T32401-2015《VHF/UHF频段无线电监测接收机技术要求及测试方法》出具的正式检测报告，报告内容需包括需包括实际交付清单（含设备序列号）所列接收机主要指标：包括但不限于监测灵敏度、解调灵敏度、电平测量误差、频率准确度（频率稳定度）、二阶截断点、三阶截断点、中频抑制、镜频抑制、扫描速度、杂散发射等指标的测试结果数据，检测报告上须带有CMA或CNAS标志。投标人选取的第三方测试验证机构应符合工业和信息化部《无线电监测设施测试验证工作规定（试行）》（工信部无〔2017〕283号）有关规定，并征得采购人书面认可。采购人在到货验收前有权委托具有CMA或CNAS资质的第三方检测机构对投标人提供的监测接收机部分指标进行抽测，并以抽测结果是否合格作为是否进行到货验收的依据。测试验证、指标抽测等性能测试费用由投标人承担，含在投标总价中。</w:t>
      </w:r>
    </w:p>
    <w:p>
      <w:pPr>
        <w:pStyle w:val="null3"/>
        <w:ind w:firstLine="480"/>
        <w:jc w:val="both"/>
      </w:pPr>
      <w:r>
        <w:rPr>
          <w:rFonts w:ascii="宋体" w:hAnsi="宋体" w:cs="宋体" w:eastAsia="宋体"/>
          <w:sz w:val="20"/>
        </w:rPr>
        <w:t>4）监测测向系统性能测试：投标人需承诺在到货验收前委托具有CMA或CNAS资质的第三方检测机构按GB/T34089-2017《VHF/UHF无线电监测测向系统开场测试参数和测试方法》，采用符合标准规定的测试场地进行测试验证，对本项目交付清单（含设备序列号）中所升级的监测测向系统进行第三方测试并出具检测报告，测试验证项目至少包括监测灵敏度、场强测量精度（误差）、频率测量精度（频率准确度）、测向精度、瞬时信号监测能力、瞬时信号测向能力、天馈系统驻波比等指标。检测报告上须带有CMA或CNAS标志。投标人选取的第三方测试验证机构应符合工业和信息化部《无线电监测设施测试验证工作规定（试行）》（工信部无〔2017〕283号）有关规定，并征得采购人书面认可。相关费用含在投标总价中。采购人在到货验收前有权委托具有CMA或CNAS资质的第三方检测机构对部分指标进行抽测，并以抽测结果是否合格作为是否进行验收的依据。测试验证、指标抽测等性能测试费用由投标人承担，含在投标总价中。</w:t>
      </w:r>
    </w:p>
    <w:p>
      <w:pPr>
        <w:pStyle w:val="null3"/>
        <w:ind w:firstLine="480"/>
        <w:jc w:val="both"/>
      </w:pPr>
      <w:r>
        <w:rPr>
          <w:rFonts w:ascii="宋体" w:hAnsi="宋体" w:cs="宋体" w:eastAsia="宋体"/>
          <w:sz w:val="20"/>
          <w:b/>
        </w:rPr>
        <w:t>注：投标人须对上述技术和服务要求中以</w:t>
      </w:r>
      <w:r>
        <w:rPr>
          <w:rFonts w:ascii="宋体" w:hAnsi="宋体" w:cs="宋体" w:eastAsia="宋体"/>
          <w:sz w:val="20"/>
          <w:b/>
        </w:rPr>
        <w:t>“★”标示的内容要求提供专项承诺的需提供专项承诺，未提供专项承诺或承诺有缺漏项的，按投标无效处理</w:t>
      </w:r>
      <w:r>
        <w:rPr>
          <w:rFonts w:ascii="宋体" w:hAnsi="宋体" w:cs="宋体" w:eastAsia="宋体"/>
          <w:sz w:val="20"/>
          <w:b/>
        </w:rPr>
        <w:t>；</w:t>
      </w:r>
      <w:r>
        <w:rPr>
          <w:rFonts w:ascii="宋体" w:hAnsi="宋体" w:cs="宋体" w:eastAsia="宋体"/>
          <w:sz w:val="20"/>
          <w:b/>
        </w:rPr>
        <w:t>要求提供佐证材料的需提供相关佐证材料，未提供佐证材料或者材料有缺漏的，按投标无效处理。</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合同签订后150天完成安装并投入试运行。</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采购人指定地点。</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初步验收合格，交付试运行。</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1、期次1，说明：到货验收。</w:t>
            </w:r>
          </w:p>
          <w:p>
            <w:pPr>
              <w:pStyle w:val="null3"/>
              <w:jc w:val="both"/>
            </w:pPr>
            <w:r>
              <w:rPr/>
              <w:t>2、期次2，说明：初步验收（含合同验收）。</w:t>
            </w:r>
          </w:p>
          <w:p>
            <w:pPr>
              <w:pStyle w:val="null3"/>
              <w:jc w:val="both"/>
            </w:pPr>
            <w:r>
              <w:rPr/>
              <w:t>3、期次3，说明：竣工验收。</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1、详见下表，达到付款条件起10日内，支付合同总金额的100.00%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本采购包履约保证金为合同金额的3.0%</w:t>
            </w:r>
          </w:p>
          <w:p>
            <w:pPr>
              <w:pStyle w:val="null3"/>
              <w:jc w:val="both"/>
            </w:pPr>
            <w:r>
              <w:rPr/>
              <w:t>说明：中标人在签订政府采购合同前五个工作日内，以银行保函等形式向采购人缴纳合同总金额的3.0%作为履约保证金，该履约保证金于服务期满后且中标人无违约的前提下无息退还。</w:t>
            </w:r>
          </w:p>
        </w:tc>
      </w:tr>
      <w:tr>
        <w:tc>
          <w:tcPr>
            <w:tcW w:type="dxa" w:w="2076"/>
          </w:tcPr>
          <w:p>
            <w:pPr>
              <w:pStyle w:val="null3"/>
              <w:jc w:val="both"/>
            </w:pPr>
            <w:r>
              <w:rPr/>
              <w:t>8</w:t>
            </w:r>
          </w:p>
        </w:tc>
        <w:tc>
          <w:tcPr>
            <w:tcW w:type="dxa" w:w="2076"/>
          </w:tcPr>
          <w:p>
            <w:pPr>
              <w:pStyle w:val="null3"/>
              <w:jc w:val="both"/>
            </w:pPr>
            <w:r>
              <w:rPr/>
              <w:t>★</w:t>
            </w:r>
          </w:p>
        </w:tc>
        <w:tc>
          <w:tcPr>
            <w:tcW w:type="dxa" w:w="2076"/>
          </w:tcPr>
          <w:p>
            <w:pPr>
              <w:pStyle w:val="null3"/>
              <w:jc w:val="both"/>
            </w:pPr>
            <w:r>
              <w:rPr/>
              <w:t>其他</w:t>
            </w:r>
          </w:p>
        </w:tc>
        <w:tc>
          <w:tcPr>
            <w:tcW w:type="dxa" w:w="2076"/>
          </w:tcPr>
          <w:p>
            <w:pPr>
              <w:pStyle w:val="null3"/>
              <w:jc w:val="both"/>
            </w:pPr>
            <w:r>
              <w:rPr/>
              <w:t>因系统设置原因，合同支付方式如下：1、合同签订后10个工作日内中标人向采购人提供合同金额70%的银行保函（保函有效期一年）且中标人开具合同金额100%的正式发票给采购人，本项目为财政支付项目，采购人须遵守财政支付规定，按照合同按期及时付款，达到付款条件起10日内，支付合同总金额的70.00%，到货验收合格后采购人向中标人退还银行保函原件。 2、合同签订后10个工作日内中标人向采购人提供合同金额20%的银行保函（保函有效期一年），本项目为财政支付项目，采购人须遵守财政支付规定，达到付款条件起10日内，支付合同总金额的20.00%，初步验收（含合同验收）合格后，采购人向中标人退还银行保函原件。 3、合同签订后10个工作日内中标人向采购人提供合同金额10%的银行保函（保函有效期一年），采购人须遵守财政支付规定，按照合同按期及时付款，达到付款条件起10日内，支付合同总金额的10.00%，竣工验收合格后，采购人向中标人退还银行保函原件。</w:t>
            </w:r>
          </w:p>
        </w:tc>
      </w:tr>
    </w:tbl>
    <w:p>
      <w:pPr>
        <w:pStyle w:val="null3"/>
        <w:jc w:val="left"/>
      </w:pPr>
      <w:r>
        <w:rPr/>
        <w:t>其他商务要求</w:t>
      </w:r>
    </w:p>
    <w:p>
      <w:pPr>
        <w:pStyle w:val="null3"/>
        <w:ind w:firstLine="480"/>
        <w:jc w:val="left"/>
      </w:pPr>
      <w:r>
        <w:rPr>
          <w:rFonts w:ascii="宋体" w:hAnsi="宋体" w:cs="宋体" w:eastAsia="宋体"/>
          <w:sz w:val="20"/>
        </w:rPr>
        <w:t>★</w:t>
      </w:r>
      <w:r>
        <w:rPr>
          <w:rFonts w:ascii="宋体" w:hAnsi="宋体" w:cs="宋体" w:eastAsia="宋体"/>
          <w:sz w:val="20"/>
          <w:b/>
        </w:rPr>
        <w:t>8、安装、调试要求</w:t>
      </w:r>
    </w:p>
    <w:p>
      <w:pPr>
        <w:pStyle w:val="null3"/>
        <w:ind w:firstLine="480"/>
        <w:jc w:val="both"/>
      </w:pPr>
      <w:r>
        <w:rPr>
          <w:rFonts w:ascii="宋体" w:hAnsi="宋体" w:cs="宋体" w:eastAsia="宋体"/>
          <w:sz w:val="20"/>
        </w:rPr>
        <w:t>（</w:t>
      </w:r>
      <w:r>
        <w:rPr>
          <w:rFonts w:ascii="宋体" w:hAnsi="宋体" w:cs="宋体" w:eastAsia="宋体"/>
          <w:sz w:val="20"/>
        </w:rPr>
        <w:t>1）中标人负责移动监测站所有系统软硬件的安装、集成、调试，并由具备资质的承载平台改装单位对承载平台进行有关改装，直至系统功能、性能指标符合招投标文件要求。系统安装、集成、承载平台改装的详细方案应经过采购人书面确认后实施，过程中所需的专用、特殊工具由中标人负责。</w:t>
      </w:r>
    </w:p>
    <w:p>
      <w:pPr>
        <w:pStyle w:val="null3"/>
        <w:ind w:firstLine="480"/>
        <w:jc w:val="both"/>
      </w:pPr>
      <w:r>
        <w:rPr>
          <w:rFonts w:ascii="宋体" w:hAnsi="宋体" w:cs="宋体" w:eastAsia="宋体"/>
          <w:sz w:val="20"/>
        </w:rPr>
        <w:t>（</w:t>
      </w:r>
      <w:r>
        <w:rPr>
          <w:rFonts w:ascii="宋体" w:hAnsi="宋体" w:cs="宋体" w:eastAsia="宋体"/>
          <w:sz w:val="20"/>
        </w:rPr>
        <w:t>2）中标人负责对采购人员进行培训。培训至少包括有关技术理论、设备安装、调试、系统架构、系统操作使用、运行维护、故障排除等内容，培训资料由中标人提供。培训方式包括集中培训和现场培训等，使采购人掌握基本的日常维护和对系统的独立操作、管理能力，确保系统能正常安全运行。</w:t>
      </w:r>
    </w:p>
    <w:p>
      <w:pPr>
        <w:pStyle w:val="null3"/>
        <w:ind w:firstLine="480"/>
        <w:jc w:val="both"/>
      </w:pPr>
      <w:r>
        <w:rPr>
          <w:rFonts w:ascii="宋体" w:hAnsi="宋体" w:cs="宋体" w:eastAsia="宋体"/>
          <w:sz w:val="20"/>
        </w:rPr>
        <w:t>（</w:t>
      </w:r>
      <w:r>
        <w:rPr>
          <w:rFonts w:ascii="宋体" w:hAnsi="宋体" w:cs="宋体" w:eastAsia="宋体"/>
          <w:sz w:val="20"/>
        </w:rPr>
        <w:t>3）安装、集成、调试、培训的费用包括在投标价格内。</w:t>
      </w:r>
    </w:p>
    <w:p>
      <w:pPr>
        <w:pStyle w:val="null3"/>
        <w:ind w:firstLine="480"/>
        <w:jc w:val="both"/>
      </w:pPr>
      <w:r>
        <w:rPr>
          <w:rFonts w:ascii="宋体" w:hAnsi="宋体" w:cs="宋体" w:eastAsia="宋体"/>
          <w:sz w:val="20"/>
        </w:rPr>
        <w:t>（</w:t>
      </w:r>
      <w:r>
        <w:rPr>
          <w:rFonts w:ascii="宋体" w:hAnsi="宋体" w:cs="宋体" w:eastAsia="宋体"/>
          <w:sz w:val="20"/>
        </w:rPr>
        <w:t>4）本项目质保期为三年，时间自项目竣工验收签字之日起计算。在质保期间中标人应对设备运行中发生的问题提供免费服务，免费更换损坏的零部件。</w:t>
      </w:r>
    </w:p>
    <w:p>
      <w:pPr>
        <w:pStyle w:val="null3"/>
        <w:ind w:firstLine="480"/>
        <w:jc w:val="both"/>
      </w:pPr>
      <w:r>
        <w:rPr>
          <w:rFonts w:ascii="宋体" w:hAnsi="宋体" w:cs="宋体" w:eastAsia="宋体"/>
          <w:sz w:val="20"/>
        </w:rPr>
        <w:t>（</w:t>
      </w:r>
      <w:r>
        <w:rPr>
          <w:rFonts w:ascii="宋体" w:hAnsi="宋体" w:cs="宋体" w:eastAsia="宋体"/>
          <w:sz w:val="20"/>
        </w:rPr>
        <w:t>5）设备交付使用后，中标人应定期对该设备进行保养。</w:t>
      </w:r>
    </w:p>
    <w:p>
      <w:pPr>
        <w:pStyle w:val="null3"/>
        <w:ind w:firstLine="480"/>
        <w:jc w:val="both"/>
      </w:pPr>
      <w:r>
        <w:rPr>
          <w:rFonts w:ascii="宋体" w:hAnsi="宋体" w:cs="宋体" w:eastAsia="宋体"/>
          <w:sz w:val="20"/>
        </w:rPr>
        <w:t>（</w:t>
      </w:r>
      <w:r>
        <w:rPr>
          <w:rFonts w:ascii="宋体" w:hAnsi="宋体" w:cs="宋体" w:eastAsia="宋体"/>
          <w:sz w:val="20"/>
        </w:rPr>
        <w:t>6）对质保期内的维修服务，中标人应在收到采购人通知后4小时内做出维修方案决定，如2小时内无法通过电话解决问题，维修人员必须在接到故障报告后48小时内到达现场解决，无偿负责设备的调试或更换已损坏的零部件，质量保证期内发生3次同一种重大质量问题，中标人应根据采购人要求无条件退换。</w:t>
      </w:r>
    </w:p>
    <w:p>
      <w:pPr>
        <w:pStyle w:val="null3"/>
        <w:ind w:firstLine="480"/>
        <w:jc w:val="both"/>
      </w:pPr>
      <w:r>
        <w:rPr>
          <w:rFonts w:ascii="宋体" w:hAnsi="宋体" w:cs="宋体" w:eastAsia="宋体"/>
          <w:sz w:val="20"/>
        </w:rPr>
        <w:t>（</w:t>
      </w:r>
      <w:r>
        <w:rPr>
          <w:rFonts w:ascii="宋体" w:hAnsi="宋体" w:cs="宋体" w:eastAsia="宋体"/>
          <w:sz w:val="20"/>
        </w:rPr>
        <w:t>7）对质保期后的维修服务，双方另行协商。</w:t>
      </w:r>
    </w:p>
    <w:p>
      <w:pPr>
        <w:pStyle w:val="null3"/>
        <w:ind w:firstLine="480"/>
        <w:jc w:val="both"/>
      </w:pPr>
      <w:r>
        <w:rPr>
          <w:rFonts w:ascii="宋体" w:hAnsi="宋体" w:cs="宋体" w:eastAsia="宋体"/>
          <w:sz w:val="20"/>
        </w:rPr>
        <w:t>★</w:t>
      </w:r>
      <w:r>
        <w:rPr>
          <w:rFonts w:ascii="宋体" w:hAnsi="宋体" w:cs="宋体" w:eastAsia="宋体"/>
          <w:sz w:val="20"/>
          <w:b/>
        </w:rPr>
        <w:t>9、</w:t>
      </w:r>
      <w:r>
        <w:rPr>
          <w:rFonts w:ascii="宋体" w:hAnsi="宋体" w:cs="宋体" w:eastAsia="宋体"/>
          <w:sz w:val="20"/>
          <w:b/>
        </w:rPr>
        <w:t>验收方案要求</w:t>
      </w:r>
    </w:p>
    <w:p>
      <w:pPr>
        <w:pStyle w:val="null3"/>
        <w:ind w:firstLine="480"/>
        <w:jc w:val="both"/>
      </w:pPr>
      <w:r>
        <w:rPr>
          <w:rFonts w:ascii="宋体" w:hAnsi="宋体" w:cs="宋体" w:eastAsia="宋体"/>
          <w:sz w:val="20"/>
        </w:rPr>
        <w:t>（</w:t>
      </w:r>
      <w:r>
        <w:rPr>
          <w:rFonts w:ascii="宋体" w:hAnsi="宋体" w:cs="宋体" w:eastAsia="宋体"/>
          <w:sz w:val="20"/>
        </w:rPr>
        <w:t>1）验收主体：政府采购合同采购人；</w:t>
      </w:r>
    </w:p>
    <w:p>
      <w:pPr>
        <w:pStyle w:val="null3"/>
        <w:ind w:firstLine="480"/>
        <w:jc w:val="both"/>
      </w:pPr>
      <w:r>
        <w:rPr>
          <w:rFonts w:ascii="宋体" w:hAnsi="宋体" w:cs="宋体" w:eastAsia="宋体"/>
          <w:sz w:val="20"/>
        </w:rPr>
        <w:t>（</w:t>
      </w:r>
      <w:r>
        <w:rPr>
          <w:rFonts w:ascii="宋体" w:hAnsi="宋体" w:cs="宋体" w:eastAsia="宋体"/>
          <w:sz w:val="20"/>
        </w:rPr>
        <w:t>2）验收环节：到货验收、初步验收（含合同验收）、竣工验收；</w:t>
      </w:r>
    </w:p>
    <w:p>
      <w:pPr>
        <w:pStyle w:val="null3"/>
        <w:ind w:firstLine="480"/>
        <w:jc w:val="both"/>
      </w:pPr>
      <w:r>
        <w:rPr>
          <w:rFonts w:ascii="宋体" w:hAnsi="宋体" w:cs="宋体" w:eastAsia="宋体"/>
          <w:sz w:val="20"/>
        </w:rPr>
        <w:t>（</w:t>
      </w:r>
      <w:r>
        <w:rPr>
          <w:rFonts w:ascii="宋体" w:hAnsi="宋体" w:cs="宋体" w:eastAsia="宋体"/>
          <w:sz w:val="20"/>
        </w:rPr>
        <w:t>3）到货验收。依据《无线电监测设施测试验证工作规定（试行）》（工信部无﹝2017﹞283号）和《福建省工业和信息化厅关于印发无线电基础和技术设施建设项目管理办法的通知》（闽工信函频管﹝2023﹞417号）相关要求及招投标文件、合同等有关内容进行验收。验收小组由采购人、中标人的人员组成。全部货物到达中标人集成地（含检测场所）或采购人指定地点后，中标人和采购人一同对全部货物的数量、型号、基本质量进行到货点验。随同货物应提供供货证明、设备质量合格证、具有CMA或CNAS资质的第三方检测机构按 GB/T32401-2015《VHF/UHF频段无线电监测接收机技术要求及测试方法》出具的本项目交付清单（含设备序列号）中所列监测接收机正式检测报告（须提供复印件），检测费用由中标人承担。</w:t>
      </w:r>
    </w:p>
    <w:p>
      <w:pPr>
        <w:pStyle w:val="null3"/>
        <w:ind w:firstLine="480"/>
        <w:jc w:val="both"/>
      </w:pPr>
      <w:r>
        <w:rPr>
          <w:rFonts w:ascii="宋体" w:hAnsi="宋体" w:cs="宋体" w:eastAsia="宋体"/>
          <w:sz w:val="20"/>
        </w:rPr>
        <w:t>改装后整车的移动监测测向</w:t>
      </w:r>
      <w:r>
        <w:rPr>
          <w:rFonts w:ascii="宋体" w:hAnsi="宋体" w:cs="宋体" w:eastAsia="宋体"/>
          <w:sz w:val="20"/>
        </w:rPr>
        <w:t>系统</w:t>
      </w:r>
      <w:r>
        <w:rPr>
          <w:rFonts w:ascii="宋体" w:hAnsi="宋体" w:cs="宋体" w:eastAsia="宋体"/>
          <w:sz w:val="20"/>
        </w:rPr>
        <w:t>还需提供符合要求的</w:t>
      </w:r>
      <w:r>
        <w:rPr>
          <w:rFonts w:ascii="宋体" w:hAnsi="宋体" w:cs="宋体" w:eastAsia="宋体"/>
          <w:sz w:val="20"/>
        </w:rPr>
        <w:t>电磁兼容测试分析报告</w:t>
      </w:r>
      <w:r>
        <w:rPr>
          <w:rFonts w:ascii="宋体" w:hAnsi="宋体" w:cs="宋体" w:eastAsia="宋体"/>
          <w:sz w:val="20"/>
        </w:rPr>
        <w:t>。</w:t>
      </w:r>
    </w:p>
    <w:p>
      <w:pPr>
        <w:pStyle w:val="null3"/>
        <w:ind w:firstLine="480"/>
        <w:jc w:val="both"/>
      </w:pPr>
      <w:r>
        <w:rPr>
          <w:rFonts w:ascii="宋体" w:hAnsi="宋体" w:cs="宋体" w:eastAsia="宋体"/>
          <w:sz w:val="20"/>
        </w:rPr>
        <w:t>中标人按招标文件、合同等有关内容完成货物的安装和调试，中标人申请进行到货验收。</w:t>
      </w:r>
    </w:p>
    <w:p>
      <w:pPr>
        <w:pStyle w:val="null3"/>
        <w:ind w:firstLine="480"/>
        <w:jc w:val="both"/>
      </w:pPr>
      <w:r>
        <w:rPr>
          <w:rFonts w:ascii="宋体" w:hAnsi="宋体" w:cs="宋体" w:eastAsia="宋体"/>
          <w:sz w:val="20"/>
        </w:rPr>
        <w:t>到货验收如果不合格，中标人进行为期</w:t>
      </w:r>
      <w:r>
        <w:rPr>
          <w:rFonts w:ascii="宋体" w:hAnsi="宋体" w:cs="宋体" w:eastAsia="宋体"/>
          <w:sz w:val="20"/>
        </w:rPr>
        <w:t>15个日历日的整改后再次组织到货验收。再次到货验收不合格的，采购人有权解除采购合同且履约保证金不予退还，并要求中标人赔偿损失以及保留更换中标人或重新组织政府采购的权力，并将相关情况报相关行政主管部门处理。</w:t>
      </w:r>
    </w:p>
    <w:p>
      <w:pPr>
        <w:pStyle w:val="null3"/>
        <w:ind w:firstLine="480"/>
        <w:jc w:val="both"/>
      </w:pPr>
      <w:r>
        <w:rPr>
          <w:rFonts w:ascii="宋体" w:hAnsi="宋体" w:cs="宋体" w:eastAsia="宋体"/>
          <w:sz w:val="20"/>
        </w:rPr>
        <w:t>（</w:t>
      </w:r>
      <w:r>
        <w:rPr>
          <w:rFonts w:ascii="宋体" w:hAnsi="宋体" w:cs="宋体" w:eastAsia="宋体"/>
          <w:sz w:val="20"/>
        </w:rPr>
        <w:t>4）初步验收（含合同验收）。到货验收合格后，采购人按照国家无线电管理（技术）机构规定及《福建省工业和信息化厅关于印发无线电基础和技术设施建设项目管理办法的通知》（闽工信函频管﹝2023﹞417号）要求组织专家组对项目进行初步验收。</w:t>
      </w:r>
    </w:p>
    <w:p>
      <w:pPr>
        <w:pStyle w:val="null3"/>
        <w:ind w:firstLine="480"/>
        <w:jc w:val="both"/>
      </w:pPr>
      <w:r>
        <w:rPr>
          <w:rFonts w:ascii="宋体" w:hAnsi="宋体" w:cs="宋体" w:eastAsia="宋体"/>
          <w:sz w:val="20"/>
          <w:b/>
        </w:rPr>
        <w:t>一体化设备操作服务（原子化服务封装）建设内容应按照《省级无线电管理一体化平台建设规范》（国无办〔</w:t>
      </w:r>
      <w:r>
        <w:rPr>
          <w:rFonts w:ascii="宋体" w:hAnsi="宋体" w:cs="宋体" w:eastAsia="宋体"/>
          <w:sz w:val="20"/>
          <w:b/>
        </w:rPr>
        <w:t>2019〕37号）文件要求，提供具有 CMA或CNAS资质的第三方测试机构出具的协议符合性测试报告，其中第三方测试机构应由中标人初步选定并由采购人书面认可，相关测试费用均由中标人承担。软件功能采取现场操作比对和测试指标比对的方式验收。</w:t>
      </w:r>
    </w:p>
    <w:p>
      <w:pPr>
        <w:pStyle w:val="null3"/>
        <w:ind w:firstLine="480"/>
        <w:jc w:val="both"/>
      </w:pPr>
      <w:r>
        <w:rPr>
          <w:rFonts w:ascii="宋体" w:hAnsi="宋体" w:cs="宋体" w:eastAsia="宋体"/>
          <w:sz w:val="20"/>
        </w:rPr>
        <w:t>初步验收前，要求对各个单项功能进行逐项检验和系统总体测试，均达到标书所要求的系统功能，并实现系统正常运行。中标人应负责在验收时将系统的全部有关技术文件、资料及安装、测试报告等文档汇集成册交付采购人。</w:t>
      </w:r>
    </w:p>
    <w:p>
      <w:pPr>
        <w:pStyle w:val="null3"/>
        <w:ind w:firstLine="480"/>
        <w:jc w:val="both"/>
      </w:pPr>
      <w:r>
        <w:rPr>
          <w:rFonts w:ascii="宋体" w:hAnsi="宋体" w:cs="宋体" w:eastAsia="宋体"/>
          <w:sz w:val="20"/>
        </w:rPr>
        <w:t>初步验收不合格的，中标人进行为期</w:t>
      </w:r>
      <w:r>
        <w:rPr>
          <w:rFonts w:ascii="宋体" w:hAnsi="宋体" w:cs="宋体" w:eastAsia="宋体"/>
          <w:sz w:val="20"/>
        </w:rPr>
        <w:t>15个日历日的整改后再次组织验收。再次初步验收不合格的，采购人有权废止采购合同且履约保证金不予退还，要求中标人赔偿损失以及保留更换中标人或重新组织政府采购的权力，并将相关情况报相关行政主管部门处理。</w:t>
      </w:r>
    </w:p>
    <w:p>
      <w:pPr>
        <w:pStyle w:val="null3"/>
        <w:ind w:firstLine="480"/>
        <w:jc w:val="both"/>
      </w:pPr>
      <w:r>
        <w:rPr>
          <w:rFonts w:ascii="宋体" w:hAnsi="宋体" w:cs="宋体" w:eastAsia="宋体"/>
          <w:sz w:val="20"/>
        </w:rPr>
        <w:t>（</w:t>
      </w:r>
      <w:r>
        <w:rPr>
          <w:rFonts w:ascii="宋体" w:hAnsi="宋体" w:cs="宋体" w:eastAsia="宋体"/>
          <w:sz w:val="20"/>
        </w:rPr>
        <w:t>5）试运行。初步验收合格后，投标人需与采购人进行交接工作，授与采购人相关知识专题培训，进入试运行期，开展30*24小时连续试运行，试运行期间系统集成核心设备及功能连续30天无故障的，由中标人书面提出竣工验收申请。在试运行期间，出现重大故障，如：系统崩溃、招标文件技术要求中列入的主要功能不能实现以及存在致使系统不能正常工作的缺陷，则试运行期从故障修复之日起重新计算，顺延一个月。</w:t>
      </w:r>
    </w:p>
    <w:p>
      <w:pPr>
        <w:pStyle w:val="null3"/>
        <w:ind w:firstLine="480"/>
        <w:jc w:val="both"/>
      </w:pPr>
      <w:r>
        <w:rPr>
          <w:rFonts w:ascii="宋体" w:hAnsi="宋体" w:cs="宋体" w:eastAsia="宋体"/>
          <w:sz w:val="20"/>
        </w:rPr>
        <w:t>（</w:t>
      </w:r>
      <w:r>
        <w:rPr>
          <w:rFonts w:ascii="宋体" w:hAnsi="宋体" w:cs="宋体" w:eastAsia="宋体"/>
          <w:sz w:val="20"/>
        </w:rPr>
        <w:t>6）竣工验收。试运行期满后，中标人需按照国家无线电管理（技术）机构规定及《福建省工业和信息化厅关于印发无线电基础和技术设施建设项目管理办法的通知》（闽工信函频管﹝2023﹞417号）要求，提交完备的项目竣工相关文档（包括但不限于设备的安装、运行、使用、测试、诊断、软硬件设备的安装指南和维修的技术文件）、备份的资料、采集的数据（如实施文档、配置文档、拓扑图、施工效果图等）等材料，交由采购人组织专家组进行竣工验收。</w:t>
      </w:r>
    </w:p>
    <w:p>
      <w:pPr>
        <w:pStyle w:val="null3"/>
        <w:ind w:firstLine="480"/>
        <w:jc w:val="both"/>
      </w:pPr>
      <w:r>
        <w:rPr>
          <w:rFonts w:ascii="宋体" w:hAnsi="宋体" w:cs="宋体" w:eastAsia="宋体"/>
          <w:sz w:val="20"/>
        </w:rPr>
        <w:t>（</w:t>
      </w:r>
      <w:r>
        <w:rPr>
          <w:rFonts w:ascii="宋体" w:hAnsi="宋体" w:cs="宋体" w:eastAsia="宋体"/>
          <w:sz w:val="20"/>
        </w:rPr>
        <w:t>7）验收标准：招标文件、投标文件、采购合同约定的标的及其功能、性能及技术指标等；未约定的，应当符合国家强制性规定、政策要求、安全标准、行业或企业有关标准等。</w:t>
      </w:r>
    </w:p>
    <w:p>
      <w:pPr>
        <w:pStyle w:val="null3"/>
        <w:ind w:firstLine="480"/>
        <w:jc w:val="both"/>
      </w:pPr>
      <w:r>
        <w:rPr>
          <w:rFonts w:ascii="宋体" w:hAnsi="宋体" w:cs="宋体" w:eastAsia="宋体"/>
          <w:sz w:val="20"/>
        </w:rPr>
        <w:t>验收达不到标准的，中标人必须予以调换全新产品，并且赔偿由此给采购人造成的损失。</w:t>
      </w:r>
    </w:p>
    <w:p>
      <w:pPr>
        <w:pStyle w:val="null3"/>
        <w:ind w:firstLine="480"/>
        <w:jc w:val="both"/>
      </w:pPr>
      <w:r>
        <w:rPr>
          <w:rFonts w:ascii="宋体" w:hAnsi="宋体" w:cs="宋体" w:eastAsia="宋体"/>
          <w:sz w:val="20"/>
        </w:rPr>
        <w:t>（</w:t>
      </w:r>
      <w:r>
        <w:rPr>
          <w:rFonts w:ascii="宋体" w:hAnsi="宋体" w:cs="宋体" w:eastAsia="宋体"/>
          <w:sz w:val="20"/>
        </w:rPr>
        <w:t>8）各验收环节所涉及的费用，包含且不限于交通运输、安装、测试、专家评审等，均由中标人承担。</w:t>
      </w:r>
    </w:p>
    <w:p>
      <w:pPr>
        <w:pStyle w:val="null3"/>
        <w:ind w:firstLine="360"/>
        <w:jc w:val="left"/>
      </w:pPr>
      <w:r>
        <w:rPr>
          <w:rFonts w:ascii="宋体" w:hAnsi="宋体" w:cs="宋体" w:eastAsia="宋体"/>
          <w:sz w:val="20"/>
        </w:rPr>
        <w:t>★</w:t>
      </w:r>
      <w:r>
        <w:rPr>
          <w:rFonts w:ascii="宋体" w:hAnsi="宋体" w:cs="宋体" w:eastAsia="宋体"/>
          <w:sz w:val="20"/>
          <w:b/>
        </w:rPr>
        <w:t>10、售后服务要求</w:t>
      </w:r>
    </w:p>
    <w:p>
      <w:pPr>
        <w:pStyle w:val="null3"/>
        <w:ind w:firstLine="360"/>
        <w:jc w:val="left"/>
      </w:pPr>
      <w:r>
        <w:rPr>
          <w:rFonts w:ascii="宋体" w:hAnsi="宋体" w:cs="宋体" w:eastAsia="宋体"/>
          <w:sz w:val="20"/>
        </w:rPr>
        <w:t>10.1所有货物的免费质量保修期为验收合格后</w:t>
      </w:r>
      <w:r>
        <w:rPr>
          <w:rFonts w:ascii="宋体" w:hAnsi="宋体" w:cs="宋体" w:eastAsia="宋体"/>
          <w:sz w:val="20"/>
        </w:rPr>
        <w:t>3</w:t>
      </w:r>
      <w:r>
        <w:rPr>
          <w:rFonts w:ascii="宋体" w:hAnsi="宋体" w:cs="宋体" w:eastAsia="宋体"/>
          <w:sz w:val="20"/>
        </w:rPr>
        <w:t>年。免费质量保修期的费用应包含在本次投标报价中。</w:t>
      </w:r>
    </w:p>
    <w:p>
      <w:pPr>
        <w:pStyle w:val="null3"/>
        <w:ind w:firstLine="360"/>
        <w:jc w:val="left"/>
      </w:pPr>
      <w:r>
        <w:rPr>
          <w:rFonts w:ascii="宋体" w:hAnsi="宋体" w:cs="宋体" w:eastAsia="宋体"/>
          <w:sz w:val="20"/>
        </w:rPr>
        <w:t>10.2设备在保修期内要求提供24小时远程保障服务（网络或电话）、定期回访、维护，有问题做到及时处理。</w:t>
      </w:r>
    </w:p>
    <w:p>
      <w:pPr>
        <w:pStyle w:val="null3"/>
        <w:ind w:firstLine="360"/>
        <w:jc w:val="left"/>
      </w:pPr>
      <w:r>
        <w:rPr>
          <w:rFonts w:ascii="宋体" w:hAnsi="宋体" w:cs="宋体" w:eastAsia="宋体"/>
          <w:sz w:val="20"/>
        </w:rPr>
        <w:t>10.3免费质量保证期结束后，供应商提供终身咨询、维修服务；货物一旦出现故障，应提供维修所需的零配件，并派出检修人员在48小时内到货物安装现场对货物进行维修。如遇设备故障，若电话指导无法排除故障</w:t>
      </w:r>
      <w:r>
        <w:rPr>
          <w:rFonts w:ascii="宋体" w:hAnsi="宋体" w:cs="宋体" w:eastAsia="宋体"/>
          <w:sz w:val="20"/>
        </w:rPr>
        <w:t>，</w:t>
      </w:r>
      <w:r>
        <w:rPr>
          <w:rFonts w:ascii="宋体" w:hAnsi="宋体" w:cs="宋体" w:eastAsia="宋体"/>
          <w:sz w:val="20"/>
        </w:rPr>
        <w:t>供应商技术员应在</w:t>
      </w:r>
      <w:r>
        <w:rPr>
          <w:rFonts w:ascii="宋体" w:hAnsi="宋体" w:cs="宋体" w:eastAsia="宋体"/>
          <w:sz w:val="20"/>
        </w:rPr>
        <w:t>48小时内到场进行检查、维修并排除故障，只收取零配件费用，免费质量保修期外供应商技术人员每年提供1次免费巡检。</w:t>
      </w:r>
    </w:p>
    <w:p>
      <w:pPr>
        <w:pStyle w:val="null3"/>
        <w:ind w:firstLine="360"/>
        <w:jc w:val="left"/>
      </w:pPr>
      <w:r>
        <w:rPr>
          <w:rFonts w:ascii="宋体" w:hAnsi="宋体" w:cs="宋体" w:eastAsia="宋体"/>
          <w:sz w:val="20"/>
        </w:rPr>
        <w:t>★</w:t>
      </w:r>
      <w:r>
        <w:rPr>
          <w:rFonts w:ascii="宋体" w:hAnsi="宋体" w:cs="宋体" w:eastAsia="宋体"/>
          <w:sz w:val="20"/>
          <w:b/>
        </w:rPr>
        <w:t>11、报价要求：</w:t>
      </w:r>
    </w:p>
    <w:p>
      <w:pPr>
        <w:pStyle w:val="null3"/>
        <w:ind w:firstLine="360"/>
        <w:jc w:val="left"/>
      </w:pPr>
      <w:r>
        <w:rPr>
          <w:rFonts w:ascii="宋体" w:hAnsi="宋体" w:cs="宋体" w:eastAsia="宋体"/>
          <w:sz w:val="20"/>
        </w:rPr>
        <w:t>11.1</w:t>
      </w:r>
      <w:r>
        <w:rPr>
          <w:rFonts w:ascii="宋体" w:hAnsi="宋体" w:cs="宋体" w:eastAsia="宋体"/>
          <w:sz w:val="20"/>
        </w:rPr>
        <w:t>本项目为固定总价合同。</w:t>
      </w:r>
      <w:r>
        <w:rPr>
          <w:rFonts w:ascii="宋体" w:hAnsi="宋体" w:cs="宋体" w:eastAsia="宋体"/>
          <w:sz w:val="20"/>
        </w:rPr>
        <w:t>投标人按合同包投标，对同一合同包内所有品目号内容投标时必须完整，评标与授标以合同包为单位。投标报价不得超出招标文件规定的各合同包预算价。投标报价应包含投标货物所涉及的所有费用，包括货物制造、包装、运输、装卸、税金、保险、安装、搬运、调试、验收、培训、检验、保修、外贸代理费（若有）、关税（若有）、本项目采购代理服务费等一切相关费用。</w:t>
      </w:r>
    </w:p>
    <w:p>
      <w:pPr>
        <w:pStyle w:val="null3"/>
        <w:ind w:firstLine="360"/>
        <w:jc w:val="left"/>
      </w:pPr>
      <w:r>
        <w:rPr>
          <w:rFonts w:ascii="宋体" w:hAnsi="宋体" w:cs="宋体" w:eastAsia="宋体"/>
          <w:sz w:val="20"/>
        </w:rPr>
        <w:t>11.2除非有特殊需要，招标文件不单独提供本项目使用地的自然环境、气候条件、公有设施、配套设施等情况，投标人若对以上情况要求了解，经采购人同意后，可以到使用地勘查，费用自理，否则将被视为熟悉上述与履行合同有关的一切情况。投标人在现场勘察所发生的一切费用及事故由投标人自行承担，采购人不承担任何责任。</w:t>
      </w:r>
    </w:p>
    <w:p>
      <w:pPr>
        <w:pStyle w:val="null3"/>
        <w:ind w:firstLine="360"/>
        <w:jc w:val="left"/>
      </w:pPr>
      <w:r>
        <w:rPr>
          <w:rFonts w:ascii="宋体" w:hAnsi="宋体" w:cs="宋体" w:eastAsia="宋体"/>
          <w:sz w:val="20"/>
        </w:rPr>
        <w:t>★</w:t>
      </w:r>
      <w:r>
        <w:rPr>
          <w:rFonts w:ascii="宋体" w:hAnsi="宋体" w:cs="宋体" w:eastAsia="宋体"/>
          <w:sz w:val="20"/>
          <w:b/>
        </w:rPr>
        <w:t>12、违约责任</w:t>
      </w:r>
    </w:p>
    <w:p>
      <w:pPr>
        <w:pStyle w:val="null3"/>
        <w:ind w:firstLine="360"/>
        <w:jc w:val="left"/>
      </w:pPr>
      <w:r>
        <w:rPr>
          <w:rFonts w:ascii="宋体" w:hAnsi="宋体" w:cs="宋体" w:eastAsia="宋体"/>
          <w:sz w:val="20"/>
        </w:rPr>
        <w:t>12.1如果</w:t>
      </w:r>
      <w:r>
        <w:rPr>
          <w:rFonts w:ascii="宋体" w:hAnsi="宋体" w:cs="宋体" w:eastAsia="宋体"/>
          <w:sz w:val="20"/>
        </w:rPr>
        <w:t>中标人</w:t>
      </w:r>
      <w:r>
        <w:rPr>
          <w:rFonts w:ascii="宋体" w:hAnsi="宋体" w:cs="宋体" w:eastAsia="宋体"/>
          <w:sz w:val="20"/>
        </w:rPr>
        <w:t>未能按合同规定的期限内完成项目交付（采购人原因或不可抗力除外），且未经采购人同意延长期限的，</w:t>
      </w:r>
      <w:r>
        <w:rPr>
          <w:rFonts w:ascii="宋体" w:hAnsi="宋体" w:cs="宋体" w:eastAsia="宋体"/>
          <w:sz w:val="20"/>
        </w:rPr>
        <w:t>中标人</w:t>
      </w:r>
      <w:r>
        <w:rPr>
          <w:rFonts w:ascii="宋体" w:hAnsi="宋体" w:cs="宋体" w:eastAsia="宋体"/>
          <w:sz w:val="20"/>
        </w:rPr>
        <w:t>需向采购人支付延期交付违约金，延期违约金采购人有权从未付的合同款项里或履约保证金中扣除。每延期</w:t>
      </w:r>
      <w:r>
        <w:rPr>
          <w:rFonts w:ascii="宋体" w:hAnsi="宋体" w:cs="宋体" w:eastAsia="宋体"/>
          <w:sz w:val="20"/>
        </w:rPr>
        <w:t>1天，</w:t>
      </w:r>
      <w:r>
        <w:rPr>
          <w:rFonts w:ascii="宋体" w:hAnsi="宋体" w:cs="宋体" w:eastAsia="宋体"/>
          <w:sz w:val="20"/>
        </w:rPr>
        <w:t>中标人</w:t>
      </w:r>
      <w:r>
        <w:rPr>
          <w:rFonts w:ascii="宋体" w:hAnsi="宋体" w:cs="宋体" w:eastAsia="宋体"/>
          <w:sz w:val="20"/>
        </w:rPr>
        <w:t>应按合同总金额的</w:t>
      </w:r>
      <w:r>
        <w:rPr>
          <w:rFonts w:ascii="宋体" w:hAnsi="宋体" w:cs="宋体" w:eastAsia="宋体"/>
          <w:sz w:val="20"/>
        </w:rPr>
        <w:t>1%向采购人支付延期违约金，依次累计，直至</w:t>
      </w:r>
      <w:r>
        <w:rPr>
          <w:rFonts w:ascii="宋体" w:hAnsi="宋体" w:cs="宋体" w:eastAsia="宋体"/>
          <w:sz w:val="20"/>
        </w:rPr>
        <w:t>中标人</w:t>
      </w:r>
      <w:r>
        <w:rPr>
          <w:rFonts w:ascii="宋体" w:hAnsi="宋体" w:cs="宋体" w:eastAsia="宋体"/>
          <w:sz w:val="20"/>
        </w:rPr>
        <w:t>完成项目交付。若</w:t>
      </w:r>
      <w:r>
        <w:rPr>
          <w:rFonts w:ascii="宋体" w:hAnsi="宋体" w:cs="宋体" w:eastAsia="宋体"/>
          <w:sz w:val="20"/>
        </w:rPr>
        <w:t>中标人</w:t>
      </w:r>
      <w:r>
        <w:rPr>
          <w:rFonts w:ascii="宋体" w:hAnsi="宋体" w:cs="宋体" w:eastAsia="宋体"/>
          <w:sz w:val="20"/>
        </w:rPr>
        <w:t>延期达</w:t>
      </w:r>
      <w:r>
        <w:rPr>
          <w:rFonts w:ascii="宋体" w:hAnsi="宋体" w:cs="宋体" w:eastAsia="宋体"/>
          <w:sz w:val="20"/>
        </w:rPr>
        <w:t>15天（含15天）以上的，采购人有权单方解除本合同，且不对</w:t>
      </w:r>
      <w:r>
        <w:rPr>
          <w:rFonts w:ascii="宋体" w:hAnsi="宋体" w:cs="宋体" w:eastAsia="宋体"/>
          <w:sz w:val="20"/>
        </w:rPr>
        <w:t>中标人</w:t>
      </w:r>
      <w:r>
        <w:rPr>
          <w:rFonts w:ascii="宋体" w:hAnsi="宋体" w:cs="宋体" w:eastAsia="宋体"/>
          <w:sz w:val="20"/>
        </w:rPr>
        <w:t>做任何经济补偿或赔偿。</w:t>
      </w:r>
    </w:p>
    <w:p>
      <w:pPr>
        <w:pStyle w:val="null3"/>
        <w:ind w:firstLine="360"/>
        <w:jc w:val="left"/>
      </w:pPr>
      <w:r>
        <w:rPr>
          <w:rFonts w:ascii="宋体" w:hAnsi="宋体" w:cs="宋体" w:eastAsia="宋体"/>
          <w:sz w:val="20"/>
        </w:rPr>
        <w:t>12.2如果因</w:t>
      </w:r>
      <w:r>
        <w:rPr>
          <w:rFonts w:ascii="宋体" w:hAnsi="宋体" w:cs="宋体" w:eastAsia="宋体"/>
          <w:sz w:val="20"/>
        </w:rPr>
        <w:t>中标人</w:t>
      </w:r>
      <w:r>
        <w:rPr>
          <w:rFonts w:ascii="宋体" w:hAnsi="宋体" w:cs="宋体" w:eastAsia="宋体"/>
          <w:sz w:val="20"/>
        </w:rPr>
        <w:t>提供的货物不合格或与承诺的条件不符等原因从而影响采购人正常使用的，</w:t>
      </w:r>
      <w:r>
        <w:rPr>
          <w:rFonts w:ascii="宋体" w:hAnsi="宋体" w:cs="宋体" w:eastAsia="宋体"/>
          <w:sz w:val="20"/>
        </w:rPr>
        <w:t>中标人</w:t>
      </w:r>
      <w:r>
        <w:rPr>
          <w:rFonts w:ascii="宋体" w:hAnsi="宋体" w:cs="宋体" w:eastAsia="宋体"/>
          <w:sz w:val="20"/>
        </w:rPr>
        <w:t>应按合同总金额的</w:t>
      </w:r>
      <w:r>
        <w:rPr>
          <w:rFonts w:ascii="宋体" w:hAnsi="宋体" w:cs="宋体" w:eastAsia="宋体"/>
          <w:sz w:val="20"/>
        </w:rPr>
        <w:t>2%向采购人支付违约金，采购人有权直接从</w:t>
      </w:r>
      <w:r>
        <w:rPr>
          <w:rFonts w:ascii="宋体" w:hAnsi="宋体" w:cs="宋体" w:eastAsia="宋体"/>
          <w:sz w:val="20"/>
        </w:rPr>
        <w:t>中标人</w:t>
      </w:r>
      <w:r>
        <w:rPr>
          <w:rFonts w:ascii="宋体" w:hAnsi="宋体" w:cs="宋体" w:eastAsia="宋体"/>
          <w:sz w:val="20"/>
        </w:rPr>
        <w:t>项目款或履约金中予以扣除，不足部分，由</w:t>
      </w:r>
      <w:r>
        <w:rPr>
          <w:rFonts w:ascii="宋体" w:hAnsi="宋体" w:cs="宋体" w:eastAsia="宋体"/>
          <w:sz w:val="20"/>
        </w:rPr>
        <w:t>中标人</w:t>
      </w:r>
      <w:r>
        <w:rPr>
          <w:rFonts w:ascii="宋体" w:hAnsi="宋体" w:cs="宋体" w:eastAsia="宋体"/>
          <w:sz w:val="20"/>
        </w:rPr>
        <w:t>补足，违约金不足以弥补采购人损失的，采购人有权要求</w:t>
      </w:r>
      <w:r>
        <w:rPr>
          <w:rFonts w:ascii="宋体" w:hAnsi="宋体" w:cs="宋体" w:eastAsia="宋体"/>
          <w:sz w:val="20"/>
        </w:rPr>
        <w:t>中标人</w:t>
      </w:r>
      <w:r>
        <w:rPr>
          <w:rFonts w:ascii="宋体" w:hAnsi="宋体" w:cs="宋体" w:eastAsia="宋体"/>
          <w:sz w:val="20"/>
        </w:rPr>
        <w:t>赔偿损失。</w:t>
      </w:r>
    </w:p>
    <w:p>
      <w:pPr>
        <w:pStyle w:val="null3"/>
        <w:ind w:firstLine="360"/>
        <w:jc w:val="left"/>
      </w:pPr>
      <w:r>
        <w:rPr>
          <w:rFonts w:ascii="宋体" w:hAnsi="宋体" w:cs="宋体" w:eastAsia="宋体"/>
          <w:sz w:val="20"/>
        </w:rPr>
        <w:t>12.3合同生效后若有一方无正当理由自行解除合同，应承担由此给对方造成的损失并向对方支付合同总价5%的违约金。 给对方造成损失的赔偿金及违约金从自行解除合同之日起十日内付清。</w:t>
      </w:r>
    </w:p>
    <w:p>
      <w:pPr>
        <w:pStyle w:val="null3"/>
        <w:ind w:firstLine="360"/>
        <w:jc w:val="left"/>
      </w:pPr>
      <w:r>
        <w:rPr>
          <w:rFonts w:ascii="宋体" w:hAnsi="宋体" w:cs="宋体" w:eastAsia="宋体"/>
          <w:sz w:val="20"/>
        </w:rPr>
        <w:t xml:space="preserve">12.4 </w:t>
      </w:r>
      <w:r>
        <w:rPr>
          <w:rFonts w:ascii="宋体" w:hAnsi="宋体" w:cs="宋体" w:eastAsia="宋体"/>
          <w:sz w:val="20"/>
        </w:rPr>
        <w:t>中标人</w:t>
      </w:r>
      <w:r>
        <w:rPr>
          <w:rFonts w:ascii="宋体" w:hAnsi="宋体" w:cs="宋体" w:eastAsia="宋体"/>
          <w:sz w:val="20"/>
        </w:rPr>
        <w:t>未按约定时间履行修理、更换等义务的，每迟延一周应向采购人支付相当于合同价格</w:t>
      </w:r>
      <w:r>
        <w:rPr>
          <w:rFonts w:ascii="宋体" w:hAnsi="宋体" w:cs="宋体" w:eastAsia="宋体"/>
          <w:sz w:val="20"/>
        </w:rPr>
        <w:t>1%的违约金</w:t>
      </w:r>
    </w:p>
    <w:p>
      <w:pPr>
        <w:pStyle w:val="null3"/>
        <w:ind w:firstLine="360"/>
        <w:jc w:val="left"/>
      </w:pPr>
      <w:r>
        <w:rPr>
          <w:rFonts w:ascii="宋体" w:hAnsi="宋体" w:cs="宋体" w:eastAsia="宋体"/>
          <w:sz w:val="20"/>
        </w:rPr>
        <w:t>12.5合同生效后，若</w:t>
      </w:r>
      <w:r>
        <w:rPr>
          <w:rFonts w:ascii="宋体" w:hAnsi="宋体" w:cs="宋体" w:eastAsia="宋体"/>
          <w:sz w:val="20"/>
        </w:rPr>
        <w:t>中标人</w:t>
      </w:r>
      <w:r>
        <w:rPr>
          <w:rFonts w:ascii="宋体" w:hAnsi="宋体" w:cs="宋体" w:eastAsia="宋体"/>
          <w:sz w:val="20"/>
        </w:rPr>
        <w:t>违约，采购人有权没收</w:t>
      </w:r>
      <w:r>
        <w:rPr>
          <w:rFonts w:ascii="宋体" w:hAnsi="宋体" w:cs="宋体" w:eastAsia="宋体"/>
          <w:sz w:val="20"/>
        </w:rPr>
        <w:t>中标人</w:t>
      </w:r>
      <w:r>
        <w:rPr>
          <w:rFonts w:ascii="宋体" w:hAnsi="宋体" w:cs="宋体" w:eastAsia="宋体"/>
          <w:sz w:val="20"/>
        </w:rPr>
        <w:t>支付的合同履约保证金。</w:t>
      </w:r>
    </w:p>
    <w:p>
      <w:pPr>
        <w:pStyle w:val="null3"/>
        <w:ind w:firstLine="360"/>
        <w:jc w:val="left"/>
      </w:pPr>
      <w:r>
        <w:rPr>
          <w:rFonts w:ascii="宋体" w:hAnsi="宋体" w:cs="宋体" w:eastAsia="宋体"/>
          <w:sz w:val="20"/>
        </w:rPr>
        <w:t>12.6</w:t>
      </w:r>
      <w:r>
        <w:rPr>
          <w:rFonts w:ascii="宋体" w:hAnsi="宋体" w:cs="宋体" w:eastAsia="宋体"/>
          <w:sz w:val="20"/>
        </w:rPr>
        <w:t>中标人</w:t>
      </w:r>
      <w:r>
        <w:rPr>
          <w:rFonts w:ascii="宋体" w:hAnsi="宋体" w:cs="宋体" w:eastAsia="宋体"/>
          <w:sz w:val="20"/>
        </w:rPr>
        <w:t>如有下列行为之一视为违约，采购人有权单方解除合同，</w:t>
      </w:r>
      <w:r>
        <w:rPr>
          <w:rFonts w:ascii="宋体" w:hAnsi="宋体" w:cs="宋体" w:eastAsia="宋体"/>
          <w:sz w:val="20"/>
        </w:rPr>
        <w:t>中标人</w:t>
      </w:r>
      <w:r>
        <w:rPr>
          <w:rFonts w:ascii="宋体" w:hAnsi="宋体" w:cs="宋体" w:eastAsia="宋体"/>
          <w:sz w:val="20"/>
        </w:rPr>
        <w:t>应按本合同约定承担相应的违约责任，且采购人将扣除全额履约保证金，并赔偿采购人的一切损失。</w:t>
      </w:r>
    </w:p>
    <w:p>
      <w:pPr>
        <w:pStyle w:val="null3"/>
        <w:ind w:firstLine="360"/>
        <w:jc w:val="left"/>
      </w:pPr>
      <w:r>
        <w:rPr>
          <w:rFonts w:ascii="宋体" w:hAnsi="宋体" w:cs="宋体" w:eastAsia="宋体"/>
          <w:sz w:val="20"/>
        </w:rPr>
        <w:t>12.6.1不能达到《采购文件》及《投标文件》的要求；</w:t>
      </w:r>
    </w:p>
    <w:p>
      <w:pPr>
        <w:pStyle w:val="null3"/>
        <w:ind w:firstLine="360"/>
        <w:jc w:val="left"/>
      </w:pPr>
      <w:r>
        <w:rPr>
          <w:rFonts w:ascii="宋体" w:hAnsi="宋体" w:cs="宋体" w:eastAsia="宋体"/>
          <w:sz w:val="20"/>
        </w:rPr>
        <w:t>12.6.2未经采购人同意将项目转包或者分包他人；</w:t>
      </w:r>
    </w:p>
    <w:p>
      <w:pPr>
        <w:pStyle w:val="null3"/>
        <w:ind w:firstLine="360"/>
        <w:jc w:val="left"/>
      </w:pPr>
      <w:r>
        <w:rPr>
          <w:rFonts w:ascii="宋体" w:hAnsi="宋体" w:cs="宋体" w:eastAsia="宋体"/>
          <w:sz w:val="20"/>
        </w:rPr>
        <w:t xml:space="preserve">12.6.3 </w:t>
      </w:r>
      <w:r>
        <w:rPr>
          <w:rFonts w:ascii="宋体" w:hAnsi="宋体" w:cs="宋体" w:eastAsia="宋体"/>
          <w:sz w:val="20"/>
        </w:rPr>
        <w:t>中标人</w:t>
      </w:r>
      <w:r>
        <w:rPr>
          <w:rFonts w:ascii="宋体" w:hAnsi="宋体" w:cs="宋体" w:eastAsia="宋体"/>
          <w:sz w:val="20"/>
        </w:rPr>
        <w:t>违反双方签署合同书的其他主要条款。</w:t>
      </w:r>
    </w:p>
    <w:p>
      <w:pPr>
        <w:pStyle w:val="null3"/>
        <w:ind w:firstLine="360"/>
        <w:jc w:val="left"/>
      </w:pPr>
      <w:r>
        <w:rPr>
          <w:rFonts w:ascii="宋体" w:hAnsi="宋体" w:cs="宋体" w:eastAsia="宋体"/>
          <w:sz w:val="20"/>
        </w:rPr>
        <w:t xml:space="preserve">12.6.4 </w:t>
      </w:r>
      <w:r>
        <w:rPr>
          <w:rFonts w:ascii="宋体" w:hAnsi="宋体" w:cs="宋体" w:eastAsia="宋体"/>
          <w:sz w:val="20"/>
        </w:rPr>
        <w:t>中标人</w:t>
      </w:r>
      <w:r>
        <w:rPr>
          <w:rFonts w:ascii="宋体" w:hAnsi="宋体" w:cs="宋体" w:eastAsia="宋体"/>
          <w:sz w:val="20"/>
        </w:rPr>
        <w:t>所交付的服务或者配套货物的品种、型号、规格、数量、质量等不符合合同规定标准及采购人要求的。</w:t>
      </w:r>
    </w:p>
    <w:p>
      <w:pPr>
        <w:pStyle w:val="null3"/>
        <w:ind w:firstLine="360"/>
        <w:jc w:val="left"/>
      </w:pPr>
      <w:r>
        <w:rPr>
          <w:rFonts w:ascii="宋体" w:hAnsi="宋体" w:cs="宋体" w:eastAsia="宋体"/>
          <w:sz w:val="20"/>
        </w:rPr>
        <w:t xml:space="preserve">12.6.5 </w:t>
      </w:r>
      <w:r>
        <w:rPr>
          <w:rFonts w:ascii="宋体" w:hAnsi="宋体" w:cs="宋体" w:eastAsia="宋体"/>
          <w:sz w:val="20"/>
        </w:rPr>
        <w:t>中标人</w:t>
      </w:r>
      <w:r>
        <w:rPr>
          <w:rFonts w:ascii="宋体" w:hAnsi="宋体" w:cs="宋体" w:eastAsia="宋体"/>
          <w:sz w:val="20"/>
        </w:rPr>
        <w:t>出现违约行为，经采购人通知三次以上仍不改正的。</w:t>
      </w:r>
    </w:p>
    <w:p>
      <w:pPr>
        <w:pStyle w:val="null3"/>
        <w:ind w:firstLine="360"/>
        <w:jc w:val="left"/>
      </w:pPr>
      <w:r>
        <w:rPr>
          <w:rFonts w:ascii="宋体" w:hAnsi="宋体" w:cs="宋体" w:eastAsia="宋体"/>
          <w:sz w:val="20"/>
        </w:rPr>
        <w:t>12.7对于不可抗拒的原因等客观因素造成不能履行合同的，双方根据客观情况协商处理。</w:t>
      </w:r>
    </w:p>
    <w:p>
      <w:pPr>
        <w:pStyle w:val="null3"/>
        <w:ind w:firstLine="360"/>
        <w:jc w:val="left"/>
      </w:pPr>
      <w:r>
        <w:rPr>
          <w:rFonts w:ascii="宋体" w:hAnsi="宋体" w:cs="宋体" w:eastAsia="宋体"/>
          <w:sz w:val="20"/>
        </w:rPr>
        <w:t>12.8</w:t>
      </w:r>
      <w:r>
        <w:rPr>
          <w:rFonts w:ascii="宋体" w:hAnsi="宋体" w:cs="宋体" w:eastAsia="宋体"/>
          <w:sz w:val="20"/>
        </w:rPr>
        <w:t>中标人</w:t>
      </w:r>
      <w:r>
        <w:rPr>
          <w:rFonts w:ascii="宋体" w:hAnsi="宋体" w:cs="宋体" w:eastAsia="宋体"/>
          <w:sz w:val="20"/>
        </w:rPr>
        <w:t>在项目建设过程各种环节中产生的一切意外事故，包括不可抗拒因素造成的事故，造成计算机或其配件的损坏、人员的伤害等概由</w:t>
      </w:r>
      <w:r>
        <w:rPr>
          <w:rFonts w:ascii="宋体" w:hAnsi="宋体" w:cs="宋体" w:eastAsia="宋体"/>
          <w:sz w:val="20"/>
        </w:rPr>
        <w:t>中标人</w:t>
      </w:r>
      <w:r>
        <w:rPr>
          <w:rFonts w:ascii="宋体" w:hAnsi="宋体" w:cs="宋体" w:eastAsia="宋体"/>
          <w:sz w:val="20"/>
        </w:rPr>
        <w:t>负责。若采购人因此而遭致损失，则</w:t>
      </w:r>
      <w:r>
        <w:rPr>
          <w:rFonts w:ascii="宋体" w:hAnsi="宋体" w:cs="宋体" w:eastAsia="宋体"/>
          <w:sz w:val="20"/>
        </w:rPr>
        <w:t>中标人</w:t>
      </w:r>
      <w:r>
        <w:rPr>
          <w:rFonts w:ascii="宋体" w:hAnsi="宋体" w:cs="宋体" w:eastAsia="宋体"/>
          <w:sz w:val="20"/>
        </w:rPr>
        <w:t>应赔偿该损失。</w:t>
      </w:r>
    </w:p>
    <w:p>
      <w:pPr>
        <w:pStyle w:val="null3"/>
        <w:ind w:firstLine="360"/>
        <w:jc w:val="left"/>
      </w:pPr>
      <w:r>
        <w:rPr>
          <w:rFonts w:ascii="宋体" w:hAnsi="宋体" w:cs="宋体" w:eastAsia="宋体"/>
          <w:sz w:val="20"/>
        </w:rPr>
        <w:t>12.8.1在合同履行期或免费质保服务期内，</w:t>
      </w:r>
      <w:r>
        <w:rPr>
          <w:rFonts w:ascii="宋体" w:hAnsi="宋体" w:cs="宋体" w:eastAsia="宋体"/>
          <w:sz w:val="20"/>
        </w:rPr>
        <w:t>中标人</w:t>
      </w:r>
      <w:r>
        <w:rPr>
          <w:rFonts w:ascii="宋体" w:hAnsi="宋体" w:cs="宋体" w:eastAsia="宋体"/>
          <w:sz w:val="20"/>
        </w:rPr>
        <w:t>提供的产品在运用中未达预期的效果，采购人有权向</w:t>
      </w:r>
      <w:r>
        <w:rPr>
          <w:rFonts w:ascii="宋体" w:hAnsi="宋体" w:cs="宋体" w:eastAsia="宋体"/>
          <w:sz w:val="20"/>
        </w:rPr>
        <w:t>中标人</w:t>
      </w:r>
      <w:r>
        <w:rPr>
          <w:rFonts w:ascii="宋体" w:hAnsi="宋体" w:cs="宋体" w:eastAsia="宋体"/>
          <w:sz w:val="20"/>
        </w:rPr>
        <w:t>提出索赔。</w:t>
      </w:r>
      <w:r>
        <w:rPr>
          <w:rFonts w:ascii="宋体" w:hAnsi="宋体" w:cs="宋体" w:eastAsia="宋体"/>
          <w:sz w:val="20"/>
        </w:rPr>
        <w:t>中标人</w:t>
      </w:r>
      <w:r>
        <w:rPr>
          <w:rFonts w:ascii="宋体" w:hAnsi="宋体" w:cs="宋体" w:eastAsia="宋体"/>
          <w:sz w:val="20"/>
        </w:rPr>
        <w:t>同意采购人按以下几种方式进行索赔，具体索赔方式由采购人自行选择，</w:t>
      </w:r>
      <w:r>
        <w:rPr>
          <w:rFonts w:ascii="宋体" w:hAnsi="宋体" w:cs="宋体" w:eastAsia="宋体"/>
          <w:sz w:val="20"/>
        </w:rPr>
        <w:t>中标人</w:t>
      </w:r>
      <w:r>
        <w:rPr>
          <w:rFonts w:ascii="宋体" w:hAnsi="宋体" w:cs="宋体" w:eastAsia="宋体"/>
          <w:sz w:val="20"/>
        </w:rPr>
        <w:t>应无条件配合。</w:t>
      </w:r>
    </w:p>
    <w:p>
      <w:pPr>
        <w:pStyle w:val="null3"/>
        <w:ind w:firstLine="360"/>
        <w:jc w:val="left"/>
      </w:pPr>
      <w:r>
        <w:rPr>
          <w:rFonts w:ascii="宋体" w:hAnsi="宋体" w:cs="宋体" w:eastAsia="宋体"/>
          <w:sz w:val="20"/>
        </w:rPr>
        <w:t>12.8.2如采购人主张退货的，</w:t>
      </w:r>
      <w:r>
        <w:rPr>
          <w:rFonts w:ascii="宋体" w:hAnsi="宋体" w:cs="宋体" w:eastAsia="宋体"/>
          <w:sz w:val="20"/>
        </w:rPr>
        <w:t>中标人</w:t>
      </w:r>
      <w:r>
        <w:rPr>
          <w:rFonts w:ascii="宋体" w:hAnsi="宋体" w:cs="宋体" w:eastAsia="宋体"/>
          <w:sz w:val="20"/>
        </w:rPr>
        <w:t>应无条件配合并将采购人已支付的货物款项一次性退还采购人，承担自合同签订之日起至实际退款之日止，每日按采购人已付全部款项的千分之五向采购人赔偿违约金及其他损失。</w:t>
      </w:r>
    </w:p>
    <w:p>
      <w:pPr>
        <w:pStyle w:val="null3"/>
        <w:ind w:firstLine="360"/>
        <w:jc w:val="left"/>
      </w:pPr>
      <w:r>
        <w:rPr>
          <w:rFonts w:ascii="宋体" w:hAnsi="宋体" w:cs="宋体" w:eastAsia="宋体"/>
          <w:sz w:val="20"/>
        </w:rPr>
        <w:t>12.8.3如继续使用，采购人可根据产品的低劣程度、损坏程度以及功能评价要求</w:t>
      </w:r>
      <w:r>
        <w:rPr>
          <w:rFonts w:ascii="宋体" w:hAnsi="宋体" w:cs="宋体" w:eastAsia="宋体"/>
          <w:sz w:val="20"/>
        </w:rPr>
        <w:t>中标人</w:t>
      </w:r>
      <w:r>
        <w:rPr>
          <w:rFonts w:ascii="宋体" w:hAnsi="宋体" w:cs="宋体" w:eastAsia="宋体"/>
          <w:sz w:val="20"/>
        </w:rPr>
        <w:t>折减产品的价格，具体折减金额由采购人决定，</w:t>
      </w:r>
      <w:r>
        <w:rPr>
          <w:rFonts w:ascii="宋体" w:hAnsi="宋体" w:cs="宋体" w:eastAsia="宋体"/>
          <w:sz w:val="20"/>
        </w:rPr>
        <w:t>中标人</w:t>
      </w:r>
      <w:r>
        <w:rPr>
          <w:rFonts w:ascii="宋体" w:hAnsi="宋体" w:cs="宋体" w:eastAsia="宋体"/>
          <w:sz w:val="20"/>
        </w:rPr>
        <w:t>不得有任何异议。同时，</w:t>
      </w:r>
      <w:r>
        <w:rPr>
          <w:rFonts w:ascii="宋体" w:hAnsi="宋体" w:cs="宋体" w:eastAsia="宋体"/>
          <w:sz w:val="20"/>
        </w:rPr>
        <w:t>中标人</w:t>
      </w:r>
      <w:r>
        <w:rPr>
          <w:rFonts w:ascii="宋体" w:hAnsi="宋体" w:cs="宋体" w:eastAsia="宋体"/>
          <w:sz w:val="20"/>
        </w:rPr>
        <w:t>应向采购人支付合同总价的</w:t>
      </w:r>
      <w:r>
        <w:rPr>
          <w:rFonts w:ascii="宋体" w:hAnsi="宋体" w:cs="宋体" w:eastAsia="宋体"/>
          <w:sz w:val="20"/>
        </w:rPr>
        <w:t xml:space="preserve">5%作为赔偿金，赔偿金不足以弥补给采购人造成的损失， </w:t>
      </w:r>
      <w:r>
        <w:rPr>
          <w:rFonts w:ascii="宋体" w:hAnsi="宋体" w:cs="宋体" w:eastAsia="宋体"/>
          <w:sz w:val="20"/>
        </w:rPr>
        <w:t>中标人</w:t>
      </w:r>
      <w:r>
        <w:rPr>
          <w:rFonts w:ascii="宋体" w:hAnsi="宋体" w:cs="宋体" w:eastAsia="宋体"/>
          <w:sz w:val="20"/>
        </w:rPr>
        <w:t>还应承担其他全部损失。</w:t>
      </w:r>
    </w:p>
    <w:p>
      <w:pPr>
        <w:pStyle w:val="null3"/>
        <w:ind w:firstLine="360"/>
        <w:jc w:val="left"/>
      </w:pPr>
      <w:r>
        <w:rPr>
          <w:rFonts w:ascii="宋体" w:hAnsi="宋体" w:cs="宋体" w:eastAsia="宋体"/>
          <w:sz w:val="20"/>
        </w:rPr>
        <w:t>以上索赔方式，采购人均有权直接从未付的货款中予以抵扣，不足以抵扣的，</w:t>
      </w:r>
      <w:r>
        <w:rPr>
          <w:rFonts w:ascii="宋体" w:hAnsi="宋体" w:cs="宋体" w:eastAsia="宋体"/>
          <w:sz w:val="20"/>
        </w:rPr>
        <w:t>中标人</w:t>
      </w:r>
      <w:r>
        <w:rPr>
          <w:rFonts w:ascii="宋体" w:hAnsi="宋体" w:cs="宋体" w:eastAsia="宋体"/>
          <w:sz w:val="20"/>
        </w:rPr>
        <w:t>应在采购人通知后三日内支付。</w:t>
      </w:r>
    </w:p>
    <w:p>
      <w:pPr>
        <w:pStyle w:val="null3"/>
        <w:ind w:firstLine="360"/>
        <w:jc w:val="left"/>
      </w:pPr>
      <w:r>
        <w:rPr>
          <w:rFonts w:ascii="宋体" w:hAnsi="宋体" w:cs="宋体" w:eastAsia="宋体"/>
          <w:sz w:val="20"/>
        </w:rPr>
        <w:t>12.9</w:t>
      </w:r>
      <w:r>
        <w:rPr>
          <w:rFonts w:ascii="宋体" w:hAnsi="宋体" w:cs="宋体" w:eastAsia="宋体"/>
          <w:sz w:val="20"/>
        </w:rPr>
        <w:t>中标人</w:t>
      </w:r>
      <w:r>
        <w:rPr>
          <w:rFonts w:ascii="宋体" w:hAnsi="宋体" w:cs="宋体" w:eastAsia="宋体"/>
          <w:sz w:val="20"/>
        </w:rPr>
        <w:t>承诺：在合同期限和服务范围内，应无条件配合采购人根据实际需要调整的方案，并根据本项目情况提供优化建议；拒不配合的，采购人有权单方解除合同，</w:t>
      </w:r>
      <w:r>
        <w:rPr>
          <w:rFonts w:ascii="宋体" w:hAnsi="宋体" w:cs="宋体" w:eastAsia="宋体"/>
          <w:sz w:val="20"/>
        </w:rPr>
        <w:t>中标人</w:t>
      </w:r>
      <w:r>
        <w:rPr>
          <w:rFonts w:ascii="宋体" w:hAnsi="宋体" w:cs="宋体" w:eastAsia="宋体"/>
          <w:sz w:val="20"/>
        </w:rPr>
        <w:t>应返还采购人已支付的全部款项，并按合同总价的</w:t>
      </w:r>
      <w:r>
        <w:rPr>
          <w:rFonts w:ascii="宋体" w:hAnsi="宋体" w:cs="宋体" w:eastAsia="宋体"/>
          <w:sz w:val="20"/>
        </w:rPr>
        <w:t>5%向采购人支付违约金，同时所产生的全部损失均由</w:t>
      </w:r>
      <w:r>
        <w:rPr>
          <w:rFonts w:ascii="宋体" w:hAnsi="宋体" w:cs="宋体" w:eastAsia="宋体"/>
          <w:sz w:val="20"/>
        </w:rPr>
        <w:t>中标人</w:t>
      </w:r>
      <w:r>
        <w:rPr>
          <w:rFonts w:ascii="宋体" w:hAnsi="宋体" w:cs="宋体" w:eastAsia="宋体"/>
          <w:sz w:val="20"/>
        </w:rPr>
        <w:t>承担。</w:t>
      </w:r>
    </w:p>
    <w:p>
      <w:pPr>
        <w:pStyle w:val="null3"/>
        <w:ind w:firstLine="360"/>
        <w:jc w:val="left"/>
      </w:pPr>
      <w:r>
        <w:rPr>
          <w:rFonts w:ascii="宋体" w:hAnsi="宋体" w:cs="宋体" w:eastAsia="宋体"/>
          <w:sz w:val="20"/>
        </w:rPr>
        <w:t>12.10其他违约行为，如</w:t>
      </w:r>
      <w:r>
        <w:rPr>
          <w:rFonts w:ascii="宋体" w:hAnsi="宋体" w:cs="宋体" w:eastAsia="宋体"/>
          <w:sz w:val="20"/>
        </w:rPr>
        <w:t>中标人</w:t>
      </w:r>
      <w:r>
        <w:rPr>
          <w:rFonts w:ascii="宋体" w:hAnsi="宋体" w:cs="宋体" w:eastAsia="宋体"/>
          <w:sz w:val="20"/>
        </w:rPr>
        <w:t>违约行为构成犯罪的，应将移交司法机关，同时</w:t>
      </w:r>
      <w:r>
        <w:rPr>
          <w:rFonts w:ascii="宋体" w:hAnsi="宋体" w:cs="宋体" w:eastAsia="宋体"/>
          <w:sz w:val="20"/>
        </w:rPr>
        <w:t>中标人</w:t>
      </w:r>
      <w:r>
        <w:rPr>
          <w:rFonts w:ascii="宋体" w:hAnsi="宋体" w:cs="宋体" w:eastAsia="宋体"/>
          <w:sz w:val="20"/>
        </w:rPr>
        <w:t>应按违约条款向采购人承担违约责任。在明确违约责任后，</w:t>
      </w:r>
      <w:r>
        <w:rPr>
          <w:rFonts w:ascii="宋体" w:hAnsi="宋体" w:cs="宋体" w:eastAsia="宋体"/>
          <w:sz w:val="20"/>
        </w:rPr>
        <w:t>中标人</w:t>
      </w:r>
      <w:r>
        <w:rPr>
          <w:rFonts w:ascii="宋体" w:hAnsi="宋体" w:cs="宋体" w:eastAsia="宋体"/>
          <w:sz w:val="20"/>
        </w:rPr>
        <w:t>应在接到采购人发出书面通知书后七天内支付违约金、赔偿金以及采购人的损失等（采购人有权从合同款中直接扣除，不足部分</w:t>
      </w:r>
      <w:r>
        <w:rPr>
          <w:rFonts w:ascii="宋体" w:hAnsi="宋体" w:cs="宋体" w:eastAsia="宋体"/>
          <w:sz w:val="20"/>
        </w:rPr>
        <w:t>中标人</w:t>
      </w:r>
      <w:r>
        <w:rPr>
          <w:rFonts w:ascii="宋体" w:hAnsi="宋体" w:cs="宋体" w:eastAsia="宋体"/>
          <w:sz w:val="20"/>
        </w:rPr>
        <w:t>应补足）。</w:t>
      </w:r>
    </w:p>
    <w:p>
      <w:pPr>
        <w:pStyle w:val="null3"/>
        <w:ind w:firstLine="480"/>
        <w:jc w:val="both"/>
      </w:pPr>
      <w:r>
        <w:rPr>
          <w:rFonts w:ascii="宋体" w:hAnsi="宋体" w:cs="宋体" w:eastAsia="宋体"/>
          <w:sz w:val="20"/>
        </w:rPr>
        <w:t>★</w:t>
      </w:r>
      <w:r>
        <w:rPr>
          <w:rFonts w:ascii="宋体" w:hAnsi="宋体" w:cs="宋体" w:eastAsia="宋体"/>
          <w:sz w:val="20"/>
          <w:b/>
        </w:rPr>
        <w:t>13.知识产权</w:t>
      </w:r>
    </w:p>
    <w:p>
      <w:pPr>
        <w:pStyle w:val="null3"/>
        <w:ind w:firstLine="480"/>
        <w:jc w:val="both"/>
      </w:pPr>
      <w:r>
        <w:rPr>
          <w:rFonts w:ascii="宋体" w:hAnsi="宋体" w:cs="宋体" w:eastAsia="宋体"/>
          <w:sz w:val="20"/>
        </w:rPr>
        <w:t>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w:t>
      </w:r>
    </w:p>
    <w:p>
      <w:pPr>
        <w:pStyle w:val="null3"/>
        <w:ind w:firstLine="480"/>
        <w:jc w:val="both"/>
      </w:pPr>
      <w:r>
        <w:rPr>
          <w:rFonts w:ascii="宋体" w:hAnsi="宋体" w:cs="宋体" w:eastAsia="宋体"/>
          <w:sz w:val="20"/>
        </w:rPr>
        <w:t>14、</w:t>
      </w:r>
      <w:r>
        <w:rPr>
          <w:rFonts w:ascii="宋体" w:hAnsi="宋体" w:cs="宋体" w:eastAsia="宋体"/>
          <w:sz w:val="20"/>
          <w:b/>
          <w:shd w:fill="FFFFFF" w:val="clear"/>
        </w:rPr>
        <w:t>其他补充事宜</w:t>
      </w:r>
    </w:p>
    <w:p>
      <w:pPr>
        <w:pStyle w:val="null3"/>
        <w:ind w:firstLine="482"/>
        <w:jc w:val="both"/>
      </w:pPr>
      <w:r>
        <w:rPr>
          <w:rFonts w:ascii="宋体" w:hAnsi="宋体" w:cs="宋体" w:eastAsia="宋体"/>
          <w:sz w:val="20"/>
          <w:b/>
          <w:shd w:fill="FFFFFF" w:val="clear"/>
        </w:rPr>
        <w:t>14.1、本项目采用“远程开标”，投标人可到开标现场，也可不到开标现场，由投标人自行决定。</w:t>
      </w:r>
    </w:p>
    <w:p>
      <w:pPr>
        <w:pStyle w:val="null3"/>
        <w:ind w:firstLine="200"/>
        <w:jc w:val="both"/>
      </w:pPr>
      <w:r>
        <w:rPr>
          <w:rFonts w:ascii="宋体" w:hAnsi="宋体" w:cs="宋体" w:eastAsia="宋体"/>
          <w:sz w:val="20"/>
          <w:b/>
          <w:shd w:fill="FFFFFF" w:val="clear"/>
        </w:rPr>
        <w:t xml:space="preserve">  </w:t>
      </w:r>
      <w:r>
        <w:rPr>
          <w:rFonts w:ascii="宋体" w:hAnsi="宋体" w:cs="宋体" w:eastAsia="宋体"/>
          <w:sz w:val="20"/>
          <w:b/>
          <w:shd w:fill="FFFFFF" w:val="clear"/>
        </w:rPr>
        <w:t>14.2、投标人选择到开标现场开标的，请在投标截止时间前将CA证书送达厦门市行政服务中心4层信息发布大厅指 定收标窗口（具体收标窗口详见信息屏显示）。投标人不到开标现场的，请在福建省政府采购网厦门分网“服务专区/下载专区/资料下载”中，下载《远程开标操作手册》，在开标时自行登录采购系统，线上观看开标过程，并按要求在开标时段对投标文件进行远程解密、远程签章。</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1、除招标文件另有规定外，若出现有关法律、法规和规章有强制性规定但招标文件未列明的情形，则投标人应按照有关法律、法规和规章强制性规定执行。 2、其他： （1）除招标文件另有规定外，若出现有关法律、法规和规章有强制性规定但招标文件未列明的情形，则投标人应按照有关法律、法规和规章强制性规定执行。（2）其他：1 .投标人需提供中小企业声明函，明确属大、中、小、微四个企业类型。 2.凡参与政府采购并依法取得政府采购合同的供 应 商，均可使用政府采购合同向福建省政府采购网发布的政府采购合同融资业务信息的银行业金融机构申请融资，可在“政采贷”模块进行具体操作。 3 .企业申请所需提交的材料可登录“福建省政府采购网”查询。 4. 融资主要条件:①担保条件:除法定代表人或实际控制人担保外，如融资金额未超过政府采购合同金额的，银行不要求企业供 应 商提供财产抵质押或第三方担保，或附加其他担保条件。②专用账户:当银行同意授信后，企业供 应 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jc w:val="left"/>
      </w:pPr>
      <w:r>
        <w:rPr/>
        <w:t xml:space="preserve"> </w:t>
        <w:br/>
        <w:br w:type="page"/>
      </w:r>
    </w:p>
    <w:p>
      <w:pPr>
        <w:pStyle w:val="null3"/>
        <w:jc w:val="center"/>
        <w:outlineLvl w:val="3"/>
      </w:pPr>
      <w:r>
        <w:rPr>
          <w:sz w:val="24"/>
          <w:b/>
        </w:rPr>
        <w:t>二-2-2 资格证明材料</w:t>
      </w:r>
    </w:p>
    <w:p>
      <w:pPr>
        <w:pStyle w:val="null3"/>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二-4中小企业声明函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二-7其他资格证明文件（若有）</w:t>
      </w:r>
    </w:p>
    <w:p>
      <w:pPr>
        <w:pStyle w:val="null3"/>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[350201]CJX[GK]2024001</w:t>
      </w:r>
    </w:p>
    <w:p>
      <w:pPr>
        <w:pStyle w:val="null3"/>
        <w:jc w:val="left"/>
      </w:pPr>
      <w:r>
        <w:rPr/>
        <w:t>项目名称：</w:t>
      </w:r>
      <w:r>
        <w:rPr/>
        <w:t>厦门市二类移动监测站更新项目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厦门市二类移动监测站更新项目</w:t>
            </w:r>
          </w:p>
        </w:tc>
        <w:tc>
          <w:tcPr>
            <w:tcW w:type="dxa" w:w="1661"/>
          </w:tcPr>
          <w:p>
            <w:pPr>
              <w:pStyle w:val="null3"/>
              <w:jc w:val="left"/>
            </w:pPr>
            <w:r>
              <w:rPr/>
              <w:t xml:space="preserve"> 3500000.0000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[350201]CJX[GK]2024001</w:t>
      </w:r>
    </w:p>
    <w:p>
      <w:pPr>
        <w:pStyle w:val="null3"/>
        <w:jc w:val="left"/>
      </w:pPr>
      <w:r>
        <w:rPr/>
        <w:t>项目名称：</w:t>
      </w:r>
      <w:r>
        <w:rPr/>
        <w:t>厦门市二类移动监测站更新项目</w:t>
      </w:r>
    </w:p>
    <w:p>
      <w:pPr>
        <w:pStyle w:val="null3"/>
        <w:jc w:val="left"/>
      </w:pPr>
      <w:r>
        <w:rPr/>
        <w:t xml:space="preserve"> 厦门市二类移动监测站更新项目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 xml:space="preserve"> 序号</w:t>
            </w:r>
          </w:p>
        </w:tc>
        <w:tc>
          <w:tcPr>
            <w:tcW w:type="dxa" w:w="639"/>
          </w:tcPr>
          <w:p>
            <w:pPr>
              <w:pStyle w:val="null3"/>
              <w:jc w:val="left"/>
            </w:pPr>
            <w:r>
              <w:rPr/>
              <w:t xml:space="preserve"> 货物名称</w:t>
            </w:r>
          </w:p>
        </w:tc>
        <w:tc>
          <w:tcPr>
            <w:tcW w:type="dxa" w:w="639"/>
          </w:tcPr>
          <w:p>
            <w:pPr>
              <w:pStyle w:val="null3"/>
              <w:jc w:val="left"/>
            </w:pPr>
            <w:r>
              <w:rPr/>
              <w:t xml:space="preserve"> 规格型号</w:t>
            </w:r>
          </w:p>
        </w:tc>
        <w:tc>
          <w:tcPr>
            <w:tcW w:type="dxa" w:w="639"/>
          </w:tcPr>
          <w:p>
            <w:pPr>
              <w:pStyle w:val="null3"/>
              <w:jc w:val="left"/>
            </w:pPr>
            <w:r>
              <w:rPr/>
              <w:t xml:space="preserve"> 品牌</w:t>
            </w:r>
          </w:p>
        </w:tc>
        <w:tc>
          <w:tcPr>
            <w:tcW w:type="dxa" w:w="639"/>
          </w:tcPr>
          <w:p>
            <w:pPr>
              <w:pStyle w:val="null3"/>
              <w:jc w:val="left"/>
            </w:pPr>
            <w:r>
              <w:rPr/>
              <w:t xml:space="preserve"> 制造商名称</w:t>
            </w:r>
          </w:p>
        </w:tc>
        <w:tc>
          <w:tcPr>
            <w:tcW w:type="dxa" w:w="639"/>
          </w:tcPr>
          <w:p>
            <w:pPr>
              <w:pStyle w:val="null3"/>
              <w:jc w:val="left"/>
            </w:pPr>
            <w:r>
              <w:rPr/>
              <w:t xml:space="preserve"> 产地</w:t>
            </w:r>
          </w:p>
        </w:tc>
        <w:tc>
          <w:tcPr>
            <w:tcW w:type="dxa" w:w="639"/>
          </w:tcPr>
          <w:p>
            <w:pPr>
              <w:pStyle w:val="null3"/>
              <w:jc w:val="left"/>
            </w:pPr>
            <w:r>
              <w:rPr/>
              <w:t xml:space="preserve"> 最高限价</w:t>
            </w:r>
          </w:p>
        </w:tc>
        <w:tc>
          <w:tcPr>
            <w:tcW w:type="dxa" w:w="639"/>
          </w:tcPr>
          <w:p>
            <w:pPr>
              <w:pStyle w:val="null3"/>
              <w:jc w:val="left"/>
            </w:pPr>
            <w:r>
              <w:rPr/>
              <w:t xml:space="preserve"> 单价</w:t>
            </w:r>
          </w:p>
        </w:tc>
        <w:tc>
          <w:tcPr>
            <w:tcW w:type="dxa" w:w="639"/>
          </w:tcPr>
          <w:p>
            <w:pPr>
              <w:pStyle w:val="null3"/>
              <w:jc w:val="left"/>
            </w:pPr>
            <w:r>
              <w:rPr/>
              <w:t xml:space="preserve"> 数量</w:t>
            </w:r>
          </w:p>
        </w:tc>
        <w:tc>
          <w:tcPr>
            <w:tcW w:type="dxa" w:w="639"/>
          </w:tcPr>
          <w:p>
            <w:pPr>
              <w:pStyle w:val="null3"/>
              <w:jc w:val="left"/>
            </w:pPr>
            <w:r>
              <w:rPr/>
              <w:t xml:space="preserve"> 计量单位</w:t>
            </w:r>
          </w:p>
        </w:tc>
        <w:tc>
          <w:tcPr>
            <w:tcW w:type="dxa" w:w="639"/>
          </w:tcPr>
          <w:p>
            <w:pPr>
              <w:pStyle w:val="null3"/>
              <w:jc w:val="left"/>
            </w:pPr>
            <w:r>
              <w:rPr/>
              <w:t xml:space="preserve"> 总价</w:t>
            </w:r>
          </w:p>
        </w:tc>
        <w:tc>
          <w:tcPr>
            <w:tcW w:type="dxa" w:w="639"/>
          </w:tcPr>
          <w:p>
            <w:pPr>
              <w:pStyle w:val="null3"/>
              <w:jc w:val="left"/>
            </w:pPr>
            <w:r>
              <w:rPr/>
              <w:t xml:space="preserve"> 是否环境标志产品</w:t>
            </w:r>
          </w:p>
        </w:tc>
        <w:tc>
          <w:tcPr>
            <w:tcW w:type="dxa" w:w="639"/>
          </w:tcPr>
          <w:p>
            <w:pPr>
              <w:pStyle w:val="null3"/>
              <w:jc w:val="left"/>
            </w:pPr>
            <w:r>
              <w:rPr/>
              <w:t xml:space="preserve"> 是否节能产品</w:t>
            </w:r>
          </w:p>
        </w:tc>
      </w:tr>
      <w:tr>
        <w:tc>
          <w:tcPr>
            <w:tcW w:type="dxa" w:w="639"/>
          </w:tcPr>
          <w:p>
            <w:pPr>
              <w:pStyle w:val="null3"/>
              <w:jc w:val="left"/>
            </w:pPr>
            <w:r>
              <w:rPr/>
              <w:t xml:space="preserve"> 1</w:t>
            </w:r>
          </w:p>
        </w:tc>
        <w:tc>
          <w:tcPr>
            <w:tcW w:type="dxa" w:w="639"/>
          </w:tcPr>
          <w:p>
            <w:pPr>
              <w:pStyle w:val="null3"/>
              <w:jc w:val="left"/>
            </w:pPr>
            <w:r>
              <w:rPr/>
              <w:t xml:space="preserve"> 厦门市二类移动监测站更新项目</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3500000.0000 </w:t>
            </w:r>
            <w:r>
              <w:rPr/>
              <w:t xml:space="preserve"> 元</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