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outlineLvl w:val="0"/>
        <w:rPr>
          <w:rFonts w:hint="eastAsia" w:ascii="黑体" w:hAnsi="黑体" w:eastAsia="黑体" w:cs="黑体"/>
          <w:color w:val="000000"/>
          <w:sz w:val="32"/>
          <w:szCs w:val="32"/>
          <w:lang w:val="en-US" w:eastAsia="zh-CN"/>
        </w:rPr>
      </w:pPr>
      <w:bookmarkStart w:id="1" w:name="_GoBack"/>
      <w:bookmarkEnd w:id="1"/>
      <w:r>
        <w:rPr>
          <w:rFonts w:hint="eastAsia" w:ascii="黑体" w:hAnsi="黑体" w:eastAsia="黑体" w:cs="黑体"/>
          <w:color w:val="000000"/>
          <w:sz w:val="32"/>
          <w:szCs w:val="32"/>
        </w:rPr>
        <w:t>附件</w:t>
      </w:r>
      <w:r>
        <w:rPr>
          <w:rFonts w:hint="eastAsia" w:ascii="黑体" w:hAnsi="黑体" w:eastAsia="黑体" w:cs="黑体"/>
          <w:color w:val="000000"/>
          <w:sz w:val="32"/>
          <w:szCs w:val="32"/>
          <w:lang w:val="en-US" w:eastAsia="zh-CN"/>
        </w:rPr>
        <w:t>2</w:t>
      </w:r>
    </w:p>
    <w:p>
      <w:pPr>
        <w:keepNext w:val="0"/>
        <w:keepLines w:val="0"/>
        <w:pageBreakBefore w:val="0"/>
        <w:widowControl w:val="0"/>
        <w:kinsoku/>
        <w:wordWrap/>
        <w:overflowPunct/>
        <w:topLinePunct w:val="0"/>
        <w:autoSpaceDE w:val="0"/>
        <w:autoSpaceDN w:val="0"/>
        <w:bidi w:val="0"/>
        <w:adjustRightInd w:val="0"/>
        <w:snapToGrid/>
        <w:spacing w:line="360" w:lineRule="exact"/>
        <w:textAlignment w:val="auto"/>
        <w:outlineLvl w:val="9"/>
        <w:rPr>
          <w:rFonts w:ascii="方正小标宋简体" w:eastAsia="方正小标宋简体" w:cs="宋体"/>
          <w:b/>
          <w:kern w:val="0"/>
          <w:sz w:val="32"/>
          <w:szCs w:val="32"/>
        </w:rPr>
      </w:pPr>
    </w:p>
    <w:p>
      <w:pPr>
        <w:autoSpaceDE w:val="0"/>
        <w:autoSpaceDN w:val="0"/>
        <w:adjustRightInd w:val="0"/>
        <w:spacing w:line="0" w:lineRule="atLeast"/>
        <w:jc w:val="center"/>
        <w:outlineLvl w:val="0"/>
        <w:rPr>
          <w:rFonts w:hint="eastAsia" w:ascii="方正大标宋简体" w:eastAsia="方正大标宋简体" w:cs="宋体"/>
          <w:bCs/>
          <w:kern w:val="0"/>
          <w:sz w:val="44"/>
          <w:szCs w:val="44"/>
        </w:rPr>
      </w:pPr>
      <w:r>
        <w:rPr>
          <w:rFonts w:hint="eastAsia" w:ascii="方正大标宋简体" w:eastAsia="方正大标宋简体" w:cs="宋体"/>
          <w:bCs/>
          <w:kern w:val="0"/>
          <w:sz w:val="44"/>
          <w:szCs w:val="44"/>
          <w:lang w:eastAsia="zh-CN"/>
        </w:rPr>
        <w:t>福建省无线电管理信息网网络地址安全策略研究项目</w:t>
      </w:r>
      <w:r>
        <w:rPr>
          <w:rFonts w:hint="eastAsia" w:ascii="方正大标宋简体" w:eastAsia="方正大标宋简体" w:cs="宋体"/>
          <w:bCs/>
          <w:kern w:val="0"/>
          <w:sz w:val="44"/>
          <w:szCs w:val="44"/>
        </w:rPr>
        <w:t>采购内容及要求</w:t>
      </w:r>
    </w:p>
    <w:p>
      <w:pPr>
        <w:autoSpaceDE w:val="0"/>
        <w:autoSpaceDN w:val="0"/>
        <w:adjustRightInd w:val="0"/>
        <w:ind w:firstLine="2090" w:firstLineChars="1100"/>
        <w:jc w:val="left"/>
        <w:rPr>
          <w:rFonts w:ascii="宋体" w:eastAsia="宋体" w:cs="宋体"/>
          <w:kern w:val="0"/>
          <w:sz w:val="19"/>
          <w:szCs w:val="19"/>
        </w:rPr>
      </w:pPr>
    </w:p>
    <w:p>
      <w:pPr>
        <w:pStyle w:val="8"/>
        <w:keepNext w:val="0"/>
        <w:keepLines w:val="0"/>
        <w:pageBreakBefore w:val="0"/>
        <w:widowControl w:val="0"/>
        <w:numPr>
          <w:ilvl w:val="0"/>
          <w:numId w:val="1"/>
        </w:numPr>
        <w:kinsoku/>
        <w:wordWrap/>
        <w:overflowPunct/>
        <w:topLinePunct w:val="0"/>
        <w:autoSpaceDE w:val="0"/>
        <w:autoSpaceDN w:val="0"/>
        <w:bidi w:val="0"/>
        <w:adjustRightInd w:val="0"/>
        <w:snapToGrid/>
        <w:ind w:left="0" w:firstLine="640" w:firstLineChars="200"/>
        <w:jc w:val="left"/>
        <w:textAlignment w:val="auto"/>
        <w:outlineLvl w:val="0"/>
        <w:rPr>
          <w:rFonts w:ascii="黑体" w:hAnsi="黑体" w:eastAsia="黑体" w:cs="宋体"/>
          <w:kern w:val="0"/>
          <w:sz w:val="32"/>
          <w:szCs w:val="32"/>
        </w:rPr>
      </w:pPr>
      <w:r>
        <w:rPr>
          <w:rFonts w:hint="eastAsia" w:ascii="黑体" w:hAnsi="黑体" w:eastAsia="黑体" w:cs="宋体"/>
          <w:kern w:val="0"/>
          <w:sz w:val="32"/>
          <w:szCs w:val="32"/>
        </w:rPr>
        <w:t>技术标准与要求</w:t>
      </w:r>
    </w:p>
    <w:p>
      <w:pPr>
        <w:pStyle w:val="8"/>
        <w:numPr>
          <w:ilvl w:val="0"/>
          <w:numId w:val="2"/>
        </w:numPr>
        <w:ind w:firstLineChars="0"/>
        <w:outlineLvl w:val="1"/>
        <w:rPr>
          <w:rFonts w:hint="eastAsia" w:ascii="楷体" w:hAnsi="楷体" w:eastAsia="楷体"/>
          <w:b/>
          <w:sz w:val="32"/>
          <w:szCs w:val="32"/>
        </w:rPr>
      </w:pPr>
      <w:r>
        <w:rPr>
          <w:rFonts w:hint="eastAsia" w:ascii="楷体" w:hAnsi="楷体" w:eastAsia="楷体"/>
          <w:b/>
          <w:sz w:val="32"/>
          <w:szCs w:val="32"/>
        </w:rPr>
        <w:t>名称及预算</w:t>
      </w:r>
    </w:p>
    <w:p>
      <w:pPr>
        <w:keepNext w:val="0"/>
        <w:keepLines w:val="0"/>
        <w:pageBreakBefore w:val="0"/>
        <w:widowControl w:val="0"/>
        <w:kinsoku/>
        <w:wordWrap/>
        <w:overflowPunct/>
        <w:topLinePunct w:val="0"/>
        <w:autoSpaceDE w:val="0"/>
        <w:autoSpaceDN w:val="0"/>
        <w:bidi w:val="0"/>
        <w:adjustRightInd w:val="0"/>
        <w:snapToGrid/>
        <w:ind w:left="0" w:leftChars="0" w:firstLine="640" w:firstLineChars="200"/>
        <w:textAlignment w:val="auto"/>
        <w:outlineLvl w:val="2"/>
        <w:rPr>
          <w:rFonts w:hint="eastAsia" w:ascii="仿宋_GB2312" w:eastAsia="仿宋_GB2312" w:cs="宋体"/>
          <w:color w:val="000000" w:themeColor="text1"/>
          <w:kern w:val="0"/>
          <w:sz w:val="32"/>
          <w:szCs w:val="32"/>
          <w:lang w:eastAsia="zh-CN"/>
          <w14:textFill>
            <w14:solidFill>
              <w14:schemeClr w14:val="tx1"/>
            </w14:solidFill>
          </w14:textFill>
        </w:rPr>
      </w:pPr>
      <w:r>
        <w:rPr>
          <w:rFonts w:hint="eastAsia" w:ascii="仿宋_GB2312" w:eastAsia="仿宋_GB2312" w:cs="DejaVuSans"/>
          <w:color w:val="000000"/>
          <w:kern w:val="0"/>
          <w:sz w:val="32"/>
          <w:szCs w:val="32"/>
        </w:rPr>
        <w:t>1.名称：</w:t>
      </w:r>
      <w:r>
        <w:rPr>
          <w:rFonts w:hint="eastAsia" w:ascii="仿宋_GB2312" w:eastAsia="仿宋_GB2312" w:cs="DejaVuSans"/>
          <w:color w:val="000000"/>
          <w:kern w:val="0"/>
          <w:sz w:val="32"/>
          <w:szCs w:val="32"/>
          <w:lang w:eastAsia="zh-CN"/>
        </w:rPr>
        <w:t>福建省无线电管理信息网网络地址安全策略研究</w:t>
      </w:r>
      <w:r>
        <w:rPr>
          <w:rFonts w:hint="eastAsia" w:ascii="仿宋_GB2312" w:eastAsia="仿宋_GB2312" w:cs="宋体"/>
          <w:color w:val="000000" w:themeColor="text1"/>
          <w:kern w:val="0"/>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val="0"/>
        <w:autoSpaceDN w:val="0"/>
        <w:bidi w:val="0"/>
        <w:adjustRightInd w:val="0"/>
        <w:snapToGrid/>
        <w:ind w:left="0" w:leftChars="0" w:firstLine="640" w:firstLineChars="200"/>
        <w:textAlignment w:val="auto"/>
        <w:outlineLvl w:val="9"/>
        <w:rPr>
          <w:rFonts w:ascii="仿宋_GB2312" w:eastAsia="仿宋_GB2312" w:cs="DejaVuSans"/>
          <w:color w:val="000000"/>
          <w:kern w:val="0"/>
          <w:sz w:val="32"/>
          <w:szCs w:val="32"/>
        </w:rPr>
      </w:pPr>
      <w:r>
        <w:rPr>
          <w:rFonts w:hint="eastAsia" w:ascii="仿宋_GB2312" w:eastAsia="仿宋_GB2312" w:cs="DejaVuSans"/>
          <w:color w:val="000000"/>
          <w:kern w:val="0"/>
          <w:sz w:val="32"/>
          <w:szCs w:val="32"/>
        </w:rPr>
        <w:t>2.</w:t>
      </w:r>
      <w:r>
        <w:rPr>
          <w:rFonts w:hint="eastAsia" w:ascii="仿宋_GB2312" w:eastAsia="仿宋_GB2312" w:cs="DejaVuSans"/>
          <w:color w:val="000000"/>
          <w:kern w:val="0"/>
          <w:sz w:val="32"/>
          <w:szCs w:val="32"/>
          <w:lang w:eastAsia="zh-CN"/>
        </w:rPr>
        <w:t>预算</w:t>
      </w:r>
      <w:r>
        <w:rPr>
          <w:rFonts w:hint="eastAsia" w:ascii="仿宋_GB2312" w:eastAsia="仿宋_GB2312" w:cs="DejaVuSans"/>
          <w:color w:val="000000"/>
          <w:kern w:val="0"/>
          <w:sz w:val="32"/>
          <w:szCs w:val="32"/>
        </w:rPr>
        <w:t>：最高限价为人民币</w:t>
      </w:r>
      <w:r>
        <w:rPr>
          <w:rFonts w:hint="eastAsia" w:ascii="仿宋_GB2312" w:eastAsia="仿宋_GB2312" w:cs="DejaVuSans"/>
          <w:color w:val="000000"/>
          <w:kern w:val="0"/>
          <w:sz w:val="32"/>
          <w:szCs w:val="32"/>
          <w:lang w:val="en-US" w:eastAsia="zh-CN"/>
        </w:rPr>
        <w:t>8</w:t>
      </w:r>
      <w:r>
        <w:rPr>
          <w:rFonts w:hint="eastAsia" w:ascii="仿宋_GB2312" w:eastAsia="仿宋_GB2312" w:cs="DejaVuSans"/>
          <w:color w:val="000000"/>
          <w:kern w:val="0"/>
          <w:sz w:val="32"/>
          <w:szCs w:val="32"/>
        </w:rPr>
        <w:t>万元(包括但不限于：研究费用、专家费、调研差旅费、资料费、项目验收费、税费等)，凡超出最高限价的，一律视为无效响应。</w:t>
      </w:r>
    </w:p>
    <w:p>
      <w:pPr>
        <w:pStyle w:val="8"/>
        <w:keepNext w:val="0"/>
        <w:keepLines w:val="0"/>
        <w:pageBreakBefore w:val="0"/>
        <w:widowControl w:val="0"/>
        <w:numPr>
          <w:ilvl w:val="0"/>
          <w:numId w:val="0"/>
        </w:numPr>
        <w:kinsoku/>
        <w:wordWrap/>
        <w:overflowPunct/>
        <w:topLinePunct w:val="0"/>
        <w:bidi w:val="0"/>
        <w:snapToGrid/>
        <w:ind w:left="0" w:leftChars="0" w:firstLine="640" w:firstLineChars="200"/>
        <w:textAlignment w:val="auto"/>
        <w:rPr>
          <w:rFonts w:hint="eastAsia" w:ascii="楷体" w:hAnsi="楷体" w:eastAsia="楷体"/>
          <w:b/>
          <w:sz w:val="32"/>
          <w:szCs w:val="32"/>
        </w:rPr>
      </w:pPr>
      <w:r>
        <w:rPr>
          <w:rFonts w:hint="eastAsia" w:ascii="仿宋_GB2312" w:eastAsia="仿宋_GB2312" w:cs="DejaVuSans"/>
          <w:color w:val="000000"/>
          <w:kern w:val="0"/>
          <w:sz w:val="32"/>
          <w:szCs w:val="32"/>
        </w:rPr>
        <w:t>响应报价应为人民币含税包干价，包括可预见和不可预见的一切费用。采购人不再另行支付除成交金额以外的任何费用。</w:t>
      </w:r>
    </w:p>
    <w:p>
      <w:pPr>
        <w:pStyle w:val="8"/>
        <w:numPr>
          <w:ilvl w:val="0"/>
          <w:numId w:val="2"/>
        </w:numPr>
        <w:ind w:firstLineChars="0"/>
        <w:outlineLvl w:val="1"/>
        <w:rPr>
          <w:rFonts w:hint="eastAsia" w:ascii="楷体" w:hAnsi="楷体" w:eastAsia="楷体"/>
          <w:b/>
          <w:sz w:val="32"/>
          <w:szCs w:val="32"/>
        </w:rPr>
      </w:pPr>
      <w:r>
        <w:rPr>
          <w:rFonts w:hint="eastAsia" w:ascii="楷体" w:hAnsi="楷体" w:eastAsia="楷体"/>
          <w:b/>
          <w:sz w:val="32"/>
          <w:szCs w:val="32"/>
        </w:rPr>
        <w:t>主要目标</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根据</w:t>
      </w:r>
      <w:r>
        <w:rPr>
          <w:rFonts w:hint="eastAsia" w:ascii="仿宋_GB2312" w:eastAsia="仿宋_GB2312"/>
          <w:sz w:val="32"/>
          <w:szCs w:val="32"/>
        </w:rPr>
        <w:t>无线电</w:t>
      </w:r>
      <w:r>
        <w:rPr>
          <w:rFonts w:hint="eastAsia" w:ascii="仿宋_GB2312" w:eastAsia="仿宋_GB2312"/>
          <w:sz w:val="32"/>
          <w:szCs w:val="32"/>
          <w:lang w:eastAsia="zh-CN"/>
        </w:rPr>
        <w:t>管理</w:t>
      </w:r>
      <w:r>
        <w:rPr>
          <w:rFonts w:hint="eastAsia" w:ascii="仿宋_GB2312" w:eastAsia="仿宋_GB2312"/>
          <w:sz w:val="32"/>
          <w:szCs w:val="32"/>
        </w:rPr>
        <w:t>工作需要和业务发展趋势，开展</w:t>
      </w:r>
      <w:r>
        <w:rPr>
          <w:rFonts w:hint="eastAsia" w:ascii="仿宋_GB2312" w:eastAsia="仿宋_GB2312"/>
          <w:sz w:val="32"/>
          <w:szCs w:val="32"/>
          <w:lang w:eastAsia="zh-CN"/>
        </w:rPr>
        <w:t>福建省</w:t>
      </w:r>
      <w:r>
        <w:rPr>
          <w:rFonts w:hint="eastAsia" w:ascii="仿宋_GB2312" w:eastAsia="仿宋_GB2312"/>
          <w:sz w:val="32"/>
          <w:szCs w:val="32"/>
        </w:rPr>
        <w:t>无线电管理信息</w:t>
      </w:r>
      <w:r>
        <w:rPr>
          <w:rFonts w:hint="eastAsia" w:ascii="仿宋_GB2312" w:eastAsia="仿宋_GB2312"/>
          <w:sz w:val="32"/>
          <w:szCs w:val="32"/>
          <w:lang w:eastAsia="zh-CN"/>
        </w:rPr>
        <w:t>网网络地址安全策略，</w:t>
      </w:r>
      <w:r>
        <w:rPr>
          <w:rFonts w:hint="eastAsia" w:ascii="仿宋_GB2312" w:eastAsia="仿宋_GB2312"/>
          <w:sz w:val="32"/>
          <w:szCs w:val="32"/>
        </w:rPr>
        <w:t>提升网络资源的利用率，增强网络运行的安全性</w:t>
      </w:r>
      <w:r>
        <w:rPr>
          <w:rFonts w:hint="eastAsia" w:ascii="仿宋_GB2312" w:eastAsia="仿宋_GB2312"/>
          <w:sz w:val="32"/>
          <w:szCs w:val="32"/>
          <w:lang w:eastAsia="zh-CN"/>
        </w:rPr>
        <w:t>和</w:t>
      </w:r>
      <w:r>
        <w:rPr>
          <w:rFonts w:hint="eastAsia" w:ascii="仿宋_GB2312" w:eastAsia="仿宋_GB2312"/>
          <w:sz w:val="32"/>
          <w:szCs w:val="32"/>
        </w:rPr>
        <w:t>稳定性，</w:t>
      </w:r>
      <w:r>
        <w:rPr>
          <w:rFonts w:hint="eastAsia" w:ascii="仿宋_GB2312" w:eastAsia="仿宋_GB2312"/>
          <w:sz w:val="32"/>
          <w:szCs w:val="32"/>
          <w:lang w:eastAsia="zh-CN"/>
        </w:rPr>
        <w:t>满足未来</w:t>
      </w:r>
      <w:r>
        <w:rPr>
          <w:rFonts w:hint="eastAsia" w:ascii="仿宋_GB2312" w:eastAsia="仿宋_GB2312"/>
          <w:sz w:val="32"/>
          <w:szCs w:val="32"/>
          <w:lang w:val="en-US" w:eastAsia="zh-CN"/>
        </w:rPr>
        <w:t>网络的扩展需求，</w:t>
      </w:r>
      <w:r>
        <w:rPr>
          <w:rFonts w:hint="eastAsia" w:ascii="仿宋_GB2312" w:eastAsia="仿宋_GB2312"/>
          <w:sz w:val="32"/>
          <w:szCs w:val="32"/>
        </w:rPr>
        <w:t>为福建省无线电管理信息网的长期</w:t>
      </w:r>
      <w:r>
        <w:rPr>
          <w:rFonts w:hint="eastAsia" w:ascii="仿宋_GB2312" w:eastAsia="仿宋_GB2312"/>
          <w:sz w:val="32"/>
          <w:szCs w:val="32"/>
          <w:lang w:eastAsia="zh-CN"/>
        </w:rPr>
        <w:t>安全</w:t>
      </w:r>
      <w:r>
        <w:rPr>
          <w:rFonts w:hint="eastAsia" w:ascii="仿宋_GB2312" w:eastAsia="仿宋_GB2312"/>
          <w:sz w:val="32"/>
          <w:szCs w:val="32"/>
        </w:rPr>
        <w:t>高效运行和业务发展提供坚实的技术支撑。</w:t>
      </w:r>
    </w:p>
    <w:p>
      <w:pPr>
        <w:pStyle w:val="8"/>
        <w:numPr>
          <w:ilvl w:val="0"/>
          <w:numId w:val="2"/>
        </w:numPr>
        <w:ind w:firstLineChars="0"/>
        <w:outlineLvl w:val="1"/>
        <w:rPr>
          <w:rFonts w:hint="eastAsia" w:ascii="楷体" w:hAnsi="楷体" w:eastAsia="楷体"/>
          <w:b/>
          <w:sz w:val="32"/>
          <w:szCs w:val="32"/>
        </w:rPr>
      </w:pPr>
      <w:r>
        <w:rPr>
          <w:rFonts w:hint="eastAsia" w:ascii="楷体" w:hAnsi="楷体" w:eastAsia="楷体"/>
          <w:b/>
          <w:sz w:val="32"/>
          <w:szCs w:val="32"/>
        </w:rPr>
        <w:t>服务内容</w:t>
      </w:r>
    </w:p>
    <w:p>
      <w:pPr>
        <w:keepNext w:val="0"/>
        <w:keepLines w:val="0"/>
        <w:pageBreakBefore w:val="0"/>
        <w:widowControl w:val="0"/>
        <w:numPr>
          <w:ilvl w:val="0"/>
          <w:numId w:val="3"/>
        </w:numPr>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针对福建省无线电管理信息网中的终端设备、监测设备</w:t>
      </w:r>
      <w:r>
        <w:rPr>
          <w:rFonts w:hint="eastAsia" w:ascii="仿宋_GB2312" w:hAnsi="仿宋_GB2312" w:eastAsia="仿宋_GB2312" w:cs="仿宋_GB2312"/>
          <w:sz w:val="32"/>
          <w:szCs w:val="32"/>
          <w:lang w:eastAsia="zh-CN"/>
        </w:rPr>
        <w:t>、网络设备、服务器、业务系统等网络地址使用情况及网络拓扑结构现状，编制详细的调研表，开展现场调研。</w:t>
      </w:r>
    </w:p>
    <w:p>
      <w:pPr>
        <w:keepNext w:val="0"/>
        <w:keepLines w:val="0"/>
        <w:pageBreakBefore w:val="0"/>
        <w:widowControl w:val="0"/>
        <w:numPr>
          <w:ilvl w:val="0"/>
          <w:numId w:val="3"/>
        </w:numPr>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依据《全国无线电管理信息系统IP地址和DNS域名表（2021年版）》等国家相关IP地址规划要求，结合福建省无线电管理信息网的实际设备使用情况，系统梳理当前网络地址的使用现状</w:t>
      </w:r>
      <w:r>
        <w:rPr>
          <w:rFonts w:hint="eastAsia" w:ascii="仿宋_GB2312" w:hAnsi="仿宋_GB2312" w:eastAsia="仿宋_GB2312" w:cs="仿宋_GB2312"/>
          <w:sz w:val="32"/>
          <w:szCs w:val="32"/>
          <w:lang w:eastAsia="zh-CN"/>
        </w:rPr>
        <w:t>和存在问题</w:t>
      </w:r>
      <w:r>
        <w:rPr>
          <w:rFonts w:hint="eastAsia" w:ascii="仿宋_GB2312" w:hAnsi="仿宋_GB2312" w:eastAsia="仿宋_GB2312" w:cs="仿宋_GB2312"/>
          <w:sz w:val="32"/>
          <w:szCs w:val="32"/>
        </w:rPr>
        <w:t>。包括</w:t>
      </w:r>
      <w:r>
        <w:rPr>
          <w:rFonts w:hint="eastAsia" w:ascii="仿宋_GB2312" w:hAnsi="仿宋_GB2312" w:eastAsia="仿宋_GB2312" w:cs="仿宋_GB2312"/>
          <w:sz w:val="32"/>
          <w:szCs w:val="32"/>
          <w:lang w:eastAsia="zh-CN"/>
        </w:rPr>
        <w:t>当前</w:t>
      </w:r>
      <w:r>
        <w:rPr>
          <w:rFonts w:hint="eastAsia" w:ascii="仿宋_GB2312" w:hAnsi="仿宋_GB2312" w:eastAsia="仿宋_GB2312" w:cs="仿宋_GB2312"/>
          <w:sz w:val="32"/>
          <w:szCs w:val="32"/>
        </w:rPr>
        <w:t>已使用</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lang w:val="en-US" w:eastAsia="zh-CN"/>
        </w:rPr>
        <w:t>IP</w:t>
      </w:r>
      <w:r>
        <w:rPr>
          <w:rFonts w:hint="eastAsia" w:ascii="仿宋_GB2312" w:hAnsi="仿宋_GB2312" w:eastAsia="仿宋_GB2312" w:cs="仿宋_GB2312"/>
          <w:sz w:val="32"/>
          <w:szCs w:val="32"/>
        </w:rPr>
        <w:t>地址、空闲地址</w:t>
      </w:r>
      <w:r>
        <w:rPr>
          <w:rFonts w:hint="eastAsia" w:ascii="仿宋_GB2312" w:hAnsi="仿宋_GB2312" w:eastAsia="仿宋_GB2312" w:cs="仿宋_GB2312"/>
          <w:sz w:val="32"/>
          <w:szCs w:val="32"/>
          <w:lang w:eastAsia="zh-CN"/>
        </w:rPr>
        <w:t>，地址分配是否符合国家规范，是否存在冗余、是否分配不合理、是否地址分配不均衡等。</w:t>
      </w:r>
    </w:p>
    <w:p>
      <w:pPr>
        <w:keepNext w:val="0"/>
        <w:keepLines w:val="0"/>
        <w:pageBreakBefore w:val="0"/>
        <w:widowControl w:val="0"/>
        <w:numPr>
          <w:ilvl w:val="0"/>
          <w:numId w:val="3"/>
        </w:numPr>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基于调研结果和现状分析，结合成熟的IP管理模式，提出福建省无线电管理信息网网络地址规划的合理化改造建议，具体包括优化网络地址的分配策略，确保地址规划的规范性和可扩展性；</w:t>
      </w:r>
      <w:r>
        <w:rPr>
          <w:rFonts w:hint="eastAsia" w:ascii="仿宋_GB2312" w:hAnsi="仿宋_GB2312" w:eastAsia="仿宋_GB2312" w:cs="仿宋_GB2312"/>
          <w:sz w:val="32"/>
          <w:szCs w:val="32"/>
          <w:lang w:eastAsia="zh-CN"/>
        </w:rPr>
        <w:t>提出合理的</w:t>
      </w:r>
      <w:r>
        <w:rPr>
          <w:rFonts w:hint="eastAsia" w:ascii="仿宋_GB2312" w:hAnsi="仿宋_GB2312" w:eastAsia="仿宋_GB2312" w:cs="仿宋_GB2312"/>
          <w:sz w:val="32"/>
          <w:szCs w:val="32"/>
        </w:rPr>
        <w:t>子网划分建议，确保不同业务系统之间的网络隔离和高效通信。结合市场上成熟的IP管理产品和技术，提出IP资源的发放、使用监督、回收等管理方案，确保IP地址的有效利用和动态管理</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确保</w:t>
      </w:r>
      <w:r>
        <w:rPr>
          <w:rFonts w:hint="eastAsia" w:ascii="仿宋_GB2312" w:hAnsi="仿宋_GB2312" w:eastAsia="仿宋_GB2312" w:cs="仿宋_GB2312"/>
          <w:sz w:val="32"/>
          <w:szCs w:val="32"/>
          <w:lang w:eastAsia="zh-CN"/>
        </w:rPr>
        <w:t>满足</w:t>
      </w:r>
      <w:r>
        <w:rPr>
          <w:rFonts w:hint="eastAsia" w:ascii="仿宋_GB2312" w:hAnsi="仿宋_GB2312" w:eastAsia="仿宋_GB2312" w:cs="仿宋_GB2312"/>
          <w:sz w:val="32"/>
          <w:szCs w:val="32"/>
        </w:rPr>
        <w:t>未来网络扩展和业务发展的需求。</w:t>
      </w:r>
      <w:r>
        <w:rPr>
          <w:rFonts w:hint="eastAsia" w:ascii="仿宋_GB2312" w:hAnsi="仿宋_GB2312" w:eastAsia="仿宋_GB2312" w:cs="仿宋_GB2312"/>
          <w:sz w:val="32"/>
          <w:szCs w:val="32"/>
          <w:lang w:eastAsia="zh-CN"/>
        </w:rPr>
        <w:t>要求提供</w:t>
      </w:r>
      <w:r>
        <w:rPr>
          <w:rFonts w:hint="eastAsia" w:ascii="仿宋_GB2312" w:hAnsi="仿宋_GB2312" w:eastAsia="仿宋_GB2312" w:cs="仿宋_GB2312"/>
          <w:sz w:val="32"/>
          <w:szCs w:val="32"/>
        </w:rPr>
        <w:t>福建省无线电管理信息网IP地址整体规划方案</w:t>
      </w:r>
      <w:r>
        <w:rPr>
          <w:rFonts w:hint="eastAsia" w:ascii="仿宋_GB2312" w:hAnsi="仿宋_GB2312" w:eastAsia="仿宋_GB2312" w:cs="仿宋_GB2312"/>
          <w:sz w:val="32"/>
          <w:szCs w:val="32"/>
          <w:lang w:eastAsia="zh-CN"/>
        </w:rPr>
        <w:t>。</w:t>
      </w:r>
    </w:p>
    <w:p>
      <w:pPr>
        <w:keepNext w:val="0"/>
        <w:keepLines w:val="0"/>
        <w:pageBreakBefore w:val="0"/>
        <w:widowControl w:val="0"/>
        <w:numPr>
          <w:ilvl w:val="0"/>
          <w:numId w:val="3"/>
        </w:numPr>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针对福建省各类监测站点的组网架构</w:t>
      </w:r>
      <w:r>
        <w:rPr>
          <w:rFonts w:hint="eastAsia" w:ascii="仿宋_GB2312" w:hAnsi="仿宋_GB2312" w:eastAsia="仿宋_GB2312" w:cs="仿宋_GB2312"/>
          <w:sz w:val="32"/>
          <w:szCs w:val="32"/>
          <w:lang w:eastAsia="zh-CN"/>
        </w:rPr>
        <w:t>现状</w:t>
      </w:r>
      <w:r>
        <w:rPr>
          <w:rFonts w:hint="eastAsia" w:ascii="仿宋_GB2312" w:hAnsi="仿宋_GB2312" w:eastAsia="仿宋_GB2312" w:cs="仿宋_GB2312"/>
          <w:sz w:val="32"/>
          <w:szCs w:val="32"/>
        </w:rPr>
        <w:t>，分析网络连接的稳定性、数据传输效率</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设备兼容性等问题。提出监测站点组网架构的优化建议，包括网络拓扑结构的调整、设备升级等</w:t>
      </w:r>
      <w:r>
        <w:rPr>
          <w:rFonts w:hint="eastAsia" w:ascii="仿宋_GB2312" w:hAnsi="仿宋_GB2312" w:eastAsia="仿宋_GB2312" w:cs="仿宋_GB2312"/>
          <w:sz w:val="32"/>
          <w:szCs w:val="32"/>
          <w:lang w:eastAsia="zh-CN"/>
        </w:rPr>
        <w:t>，搭建测试环境</w:t>
      </w:r>
      <w:r>
        <w:rPr>
          <w:rFonts w:hint="eastAsia" w:ascii="仿宋_GB2312" w:hAnsi="仿宋_GB2312" w:eastAsia="仿宋_GB2312" w:cs="仿宋_GB2312"/>
          <w:sz w:val="32"/>
          <w:szCs w:val="32"/>
        </w:rPr>
        <w:t>验证</w:t>
      </w:r>
      <w:r>
        <w:rPr>
          <w:rFonts w:hint="eastAsia" w:ascii="仿宋_GB2312" w:hAnsi="仿宋_GB2312" w:eastAsia="仿宋_GB2312" w:cs="仿宋_GB2312"/>
          <w:sz w:val="32"/>
          <w:szCs w:val="32"/>
          <w:lang w:eastAsia="zh-CN"/>
        </w:rPr>
        <w:t>方案的</w:t>
      </w:r>
      <w:r>
        <w:rPr>
          <w:rFonts w:hint="eastAsia" w:ascii="仿宋_GB2312" w:hAnsi="仿宋_GB2312" w:eastAsia="仿宋_GB2312" w:cs="仿宋_GB2312"/>
          <w:sz w:val="32"/>
          <w:szCs w:val="32"/>
        </w:rPr>
        <w:t>可行性</w:t>
      </w:r>
      <w:r>
        <w:rPr>
          <w:rFonts w:hint="eastAsia" w:ascii="仿宋_GB2312" w:hAnsi="仿宋_GB2312" w:eastAsia="仿宋_GB2312" w:cs="仿宋_GB2312"/>
          <w:sz w:val="32"/>
          <w:szCs w:val="32"/>
          <w:lang w:eastAsia="zh-CN"/>
        </w:rPr>
        <w:t>。要求提供福建省无线电管理信息网</w:t>
      </w:r>
      <w:r>
        <w:rPr>
          <w:rFonts w:hint="eastAsia" w:ascii="仿宋_GB2312" w:hAnsi="仿宋_GB2312" w:eastAsia="仿宋_GB2312" w:cs="仿宋_GB2312"/>
          <w:sz w:val="32"/>
          <w:szCs w:val="32"/>
        </w:rPr>
        <w:t>监测站</w:t>
      </w:r>
      <w:r>
        <w:rPr>
          <w:rFonts w:hint="eastAsia" w:ascii="仿宋_GB2312" w:hAnsi="仿宋_GB2312" w:eastAsia="仿宋_GB2312" w:cs="仿宋_GB2312"/>
          <w:sz w:val="32"/>
          <w:szCs w:val="32"/>
          <w:lang w:eastAsia="zh-CN"/>
        </w:rPr>
        <w:t>点的</w:t>
      </w:r>
      <w:r>
        <w:rPr>
          <w:rFonts w:hint="eastAsia" w:ascii="仿宋_GB2312" w:hAnsi="仿宋_GB2312" w:eastAsia="仿宋_GB2312" w:cs="仿宋_GB2312"/>
          <w:sz w:val="32"/>
          <w:szCs w:val="32"/>
        </w:rPr>
        <w:t>组网建设标准</w:t>
      </w:r>
      <w:r>
        <w:rPr>
          <w:rFonts w:hint="eastAsia" w:ascii="仿宋_GB2312" w:hAnsi="仿宋_GB2312" w:eastAsia="仿宋_GB2312" w:cs="仿宋_GB2312"/>
          <w:sz w:val="32"/>
          <w:szCs w:val="32"/>
          <w:lang w:eastAsia="zh-CN"/>
        </w:rPr>
        <w:t>。</w:t>
      </w:r>
    </w:p>
    <w:p>
      <w:pPr>
        <w:keepNext w:val="0"/>
        <w:keepLines w:val="0"/>
        <w:pageBreakBefore w:val="0"/>
        <w:widowControl w:val="0"/>
        <w:numPr>
          <w:ilvl w:val="0"/>
          <w:numId w:val="3"/>
        </w:numPr>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针对全省设备的网络</w:t>
      </w:r>
      <w:r>
        <w:rPr>
          <w:rFonts w:hint="eastAsia" w:ascii="仿宋_GB2312" w:hAnsi="仿宋_GB2312" w:eastAsia="仿宋_GB2312" w:cs="仿宋_GB2312"/>
          <w:sz w:val="32"/>
          <w:szCs w:val="32"/>
          <w:lang w:eastAsia="zh-CN"/>
        </w:rPr>
        <w:t>安全</w:t>
      </w:r>
      <w:r>
        <w:rPr>
          <w:rFonts w:hint="eastAsia" w:ascii="仿宋_GB2312" w:hAnsi="仿宋_GB2312" w:eastAsia="仿宋_GB2312" w:cs="仿宋_GB2312"/>
          <w:sz w:val="32"/>
          <w:szCs w:val="32"/>
        </w:rPr>
        <w:t>策略管理，结合先进技术及各类安全要求，提出优化网络访问控制策略的建议，确保网络流量的安全可控。包括优化网络访问控制策略、加强网络安全防护等，实现数据流量安全可控并可进行二次分析</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确保网络流量的透明化和可追溯性。</w:t>
      </w:r>
      <w:r>
        <w:rPr>
          <w:rFonts w:hint="eastAsia" w:ascii="仿宋_GB2312" w:hAnsi="仿宋_GB2312" w:eastAsia="仿宋_GB2312" w:cs="仿宋_GB2312"/>
          <w:sz w:val="32"/>
          <w:szCs w:val="32"/>
          <w:lang w:eastAsia="zh-CN"/>
        </w:rPr>
        <w:t>要求</w:t>
      </w:r>
      <w:r>
        <w:rPr>
          <w:rFonts w:hint="eastAsia" w:ascii="仿宋_GB2312" w:hAnsi="仿宋_GB2312" w:eastAsia="仿宋_GB2312" w:cs="仿宋_GB2312"/>
          <w:sz w:val="32"/>
          <w:szCs w:val="32"/>
        </w:rPr>
        <w:t>提供</w:t>
      </w:r>
      <w:r>
        <w:rPr>
          <w:rFonts w:hint="eastAsia" w:ascii="仿宋_GB2312" w:hAnsi="仿宋_GB2312" w:eastAsia="仿宋_GB2312" w:cs="仿宋_GB2312"/>
          <w:sz w:val="32"/>
          <w:szCs w:val="32"/>
          <w:lang w:eastAsia="zh-CN"/>
        </w:rPr>
        <w:t>福建省无线电管理信息网网络安全策略管理</w:t>
      </w:r>
      <w:r>
        <w:rPr>
          <w:rFonts w:hint="eastAsia" w:ascii="仿宋_GB2312" w:hAnsi="仿宋_GB2312" w:eastAsia="仿宋_GB2312" w:cs="仿宋_GB2312"/>
          <w:sz w:val="32"/>
          <w:szCs w:val="32"/>
        </w:rPr>
        <w:t>技术路线和优化方案。</w:t>
      </w:r>
    </w:p>
    <w:p>
      <w:pPr>
        <w:keepNext w:val="0"/>
        <w:keepLines w:val="0"/>
        <w:pageBreakBefore w:val="0"/>
        <w:widowControl w:val="0"/>
        <w:numPr>
          <w:ilvl w:val="0"/>
          <w:numId w:val="3"/>
        </w:numPr>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结合福建省无线电管理信息网的现状和未来需求，提出网络架构及设备升级改造建议，</w:t>
      </w:r>
      <w:r>
        <w:rPr>
          <w:rFonts w:hint="eastAsia" w:ascii="仿宋_GB2312" w:hAnsi="仿宋_GB2312" w:eastAsia="仿宋_GB2312" w:cs="仿宋_GB2312"/>
          <w:sz w:val="32"/>
          <w:szCs w:val="32"/>
          <w:lang w:eastAsia="zh-CN"/>
        </w:rPr>
        <w:t>包括</w:t>
      </w:r>
      <w:r>
        <w:rPr>
          <w:rFonts w:hint="eastAsia" w:ascii="仿宋_GB2312" w:hAnsi="仿宋_GB2312" w:eastAsia="仿宋_GB2312" w:cs="仿宋_GB2312"/>
          <w:sz w:val="32"/>
          <w:szCs w:val="32"/>
        </w:rPr>
        <w:t>设备</w:t>
      </w:r>
      <w:r>
        <w:rPr>
          <w:rFonts w:hint="eastAsia" w:ascii="仿宋_GB2312" w:hAnsi="仿宋_GB2312" w:eastAsia="仿宋_GB2312" w:cs="仿宋_GB2312"/>
          <w:sz w:val="32"/>
          <w:szCs w:val="32"/>
          <w:lang w:eastAsia="zh-CN"/>
        </w:rPr>
        <w:t>参数推荐</w:t>
      </w:r>
      <w:r>
        <w:rPr>
          <w:rFonts w:hint="eastAsia" w:ascii="仿宋_GB2312" w:hAnsi="仿宋_GB2312" w:eastAsia="仿宋_GB2312" w:cs="仿宋_GB2312"/>
          <w:sz w:val="32"/>
          <w:szCs w:val="32"/>
        </w:rPr>
        <w:t>、网络拓扑设计、技术实施路径等，</w:t>
      </w:r>
      <w:r>
        <w:rPr>
          <w:rFonts w:hint="eastAsia" w:ascii="仿宋_GB2312" w:hAnsi="仿宋_GB2312" w:eastAsia="仿宋_GB2312" w:cs="仿宋_GB2312"/>
          <w:sz w:val="32"/>
          <w:szCs w:val="32"/>
          <w:lang w:eastAsia="zh-CN"/>
        </w:rPr>
        <w:t>要求提供福建省无线电管理信息网</w:t>
      </w:r>
      <w:r>
        <w:rPr>
          <w:rFonts w:hint="eastAsia" w:ascii="仿宋_GB2312" w:hAnsi="仿宋_GB2312" w:eastAsia="仿宋_GB2312" w:cs="仿宋_GB2312"/>
          <w:sz w:val="32"/>
          <w:szCs w:val="32"/>
        </w:rPr>
        <w:t>网络架构及设备</w:t>
      </w:r>
      <w:r>
        <w:rPr>
          <w:rFonts w:hint="eastAsia" w:ascii="仿宋_GB2312" w:hAnsi="仿宋_GB2312" w:eastAsia="仿宋_GB2312" w:cs="仿宋_GB2312"/>
          <w:sz w:val="32"/>
          <w:szCs w:val="32"/>
          <w:lang w:eastAsia="zh-CN"/>
        </w:rPr>
        <w:t>升级</w:t>
      </w:r>
      <w:r>
        <w:rPr>
          <w:rFonts w:hint="eastAsia" w:ascii="仿宋_GB2312" w:hAnsi="仿宋_GB2312" w:eastAsia="仿宋_GB2312" w:cs="仿宋_GB2312"/>
          <w:sz w:val="32"/>
          <w:szCs w:val="32"/>
        </w:rPr>
        <w:t>改造方案。</w:t>
      </w:r>
    </w:p>
    <w:p>
      <w:pPr>
        <w:pStyle w:val="8"/>
        <w:numPr>
          <w:ilvl w:val="0"/>
          <w:numId w:val="2"/>
        </w:numPr>
        <w:ind w:firstLineChars="0"/>
        <w:outlineLvl w:val="1"/>
        <w:rPr>
          <w:rFonts w:hint="eastAsia" w:ascii="楷体" w:hAnsi="楷体" w:eastAsia="楷体"/>
          <w:b/>
          <w:sz w:val="32"/>
          <w:szCs w:val="32"/>
        </w:rPr>
      </w:pPr>
      <w:r>
        <w:rPr>
          <w:rFonts w:hint="eastAsia" w:ascii="楷体" w:hAnsi="楷体" w:eastAsia="楷体"/>
          <w:b/>
          <w:sz w:val="32"/>
          <w:szCs w:val="32"/>
        </w:rPr>
        <w:t>服务要求</w:t>
      </w:r>
    </w:p>
    <w:p>
      <w:pPr>
        <w:keepNext w:val="0"/>
        <w:keepLines w:val="0"/>
        <w:pageBreakBefore w:val="0"/>
        <w:widowControl w:val="0"/>
        <w:numPr>
          <w:ilvl w:val="0"/>
          <w:numId w:val="4"/>
        </w:numPr>
        <w:kinsoku/>
        <w:wordWrap/>
        <w:overflowPunct/>
        <w:topLinePunct w:val="0"/>
        <w:autoSpaceDE/>
        <w:autoSpaceDN/>
        <w:bidi w:val="0"/>
        <w:adjustRightInd/>
        <w:snapToGrid/>
        <w:ind w:left="0" w:leftChars="0" w:firstLine="640" w:firstLineChars="200"/>
        <w:textAlignment w:val="auto"/>
        <w:outlineLvl w:val="2"/>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服务时间：202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年1</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月3</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日前完成专家评审并结题。</w:t>
      </w:r>
    </w:p>
    <w:p>
      <w:pPr>
        <w:keepNext w:val="0"/>
        <w:keepLines w:val="0"/>
        <w:pageBreakBefore w:val="0"/>
        <w:widowControl w:val="0"/>
        <w:numPr>
          <w:ilvl w:val="0"/>
          <w:numId w:val="4"/>
        </w:numPr>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供应商针对本项目组建专门的研究团队，具备研究技术实力，熟练掌握 TCP/IP 协议栈，熟悉各类网络拓扑与常见网络设备配置管理</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熟悉常用</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rPr>
        <w:t>网络设备，拥有丰富</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rPr>
        <w:t>网络规划设计、部署、运维及优化经验</w:t>
      </w:r>
      <w:r>
        <w:rPr>
          <w:rFonts w:hint="eastAsia" w:ascii="仿宋_GB2312" w:hAnsi="仿宋_GB2312" w:eastAsia="仿宋_GB2312" w:cs="仿宋_GB2312"/>
          <w:sz w:val="32"/>
          <w:szCs w:val="32"/>
          <w:lang w:eastAsia="zh-CN"/>
        </w:rPr>
        <w:t>。</w:t>
      </w:r>
    </w:p>
    <w:p>
      <w:pPr>
        <w:keepNext w:val="0"/>
        <w:keepLines w:val="0"/>
        <w:pageBreakBefore w:val="0"/>
        <w:widowControl w:val="0"/>
        <w:numPr>
          <w:ilvl w:val="0"/>
          <w:numId w:val="4"/>
        </w:numPr>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供应商不得将本项目分包或拆包，供应商应根据采购人的要求提供完整的服务。</w:t>
      </w:r>
    </w:p>
    <w:p>
      <w:pPr>
        <w:keepNext w:val="0"/>
        <w:keepLines w:val="0"/>
        <w:pageBreakBefore w:val="0"/>
        <w:widowControl w:val="0"/>
        <w:numPr>
          <w:ilvl w:val="0"/>
          <w:numId w:val="4"/>
        </w:numPr>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供应商在实施过程中，应与采购人联系沟通及汇报工作，发现问题及时上报。</w:t>
      </w:r>
    </w:p>
    <w:p>
      <w:pPr>
        <w:keepNext w:val="0"/>
        <w:keepLines w:val="0"/>
        <w:pageBreakBefore w:val="0"/>
        <w:widowControl w:val="0"/>
        <w:numPr>
          <w:ilvl w:val="0"/>
          <w:numId w:val="4"/>
        </w:numPr>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供应商在实施过程中所形成的有关调查材料，应整理成册归档，以便采购人调阅。</w:t>
      </w:r>
    </w:p>
    <w:p>
      <w:pPr>
        <w:keepNext w:val="0"/>
        <w:keepLines w:val="0"/>
        <w:pageBreakBefore w:val="0"/>
        <w:widowControl w:val="0"/>
        <w:numPr>
          <w:ilvl w:val="0"/>
          <w:numId w:val="4"/>
        </w:numPr>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供应商对执行本项目过程中知悉的涉密信息严加保密，不得将其知悉的秘密和采购人提供的资料对外泄露。</w:t>
      </w:r>
    </w:p>
    <w:p>
      <w:pPr>
        <w:keepNext w:val="0"/>
        <w:keepLines w:val="0"/>
        <w:pageBreakBefore w:val="0"/>
        <w:widowControl w:val="0"/>
        <w:numPr>
          <w:ilvl w:val="0"/>
          <w:numId w:val="4"/>
        </w:numPr>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采购人对服务供应商的研究成果组织不少于3名专家进行专业评审，所需经费由服务供应商负责。服务供应商按评审意见修改完善并提交研究成果终稿后课题结题。</w:t>
      </w:r>
    </w:p>
    <w:p>
      <w:pPr>
        <w:pStyle w:val="8"/>
        <w:numPr>
          <w:ilvl w:val="0"/>
          <w:numId w:val="2"/>
        </w:numPr>
        <w:ind w:firstLineChars="0"/>
        <w:outlineLvl w:val="1"/>
        <w:rPr>
          <w:rFonts w:hint="eastAsia" w:ascii="楷体" w:hAnsi="楷体" w:eastAsia="楷体"/>
          <w:b/>
          <w:sz w:val="32"/>
          <w:szCs w:val="32"/>
        </w:rPr>
      </w:pPr>
      <w:r>
        <w:rPr>
          <w:rFonts w:hint="eastAsia" w:ascii="楷体" w:hAnsi="楷体" w:eastAsia="楷体"/>
          <w:b/>
          <w:sz w:val="32"/>
          <w:szCs w:val="32"/>
        </w:rPr>
        <w:t>项目成果要求</w:t>
      </w:r>
    </w:p>
    <w:p>
      <w:pPr>
        <w:keepNext w:val="0"/>
        <w:keepLines w:val="0"/>
        <w:pageBreakBefore w:val="0"/>
        <w:widowControl w:val="0"/>
        <w:numPr>
          <w:ilvl w:val="0"/>
          <w:numId w:val="5"/>
        </w:numPr>
        <w:kinsoku/>
        <w:wordWrap/>
        <w:overflowPunct/>
        <w:topLinePunct w:val="0"/>
        <w:autoSpaceDE/>
        <w:autoSpaceDN/>
        <w:bidi w:val="0"/>
        <w:adjustRightInd/>
        <w:snapToGrid/>
        <w:ind w:left="0" w:leftChars="0" w:firstLine="640" w:firstLineChars="200"/>
        <w:textAlignment w:val="auto"/>
        <w:outlineLvl w:val="2"/>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成果构成</w:t>
      </w:r>
    </w:p>
    <w:p>
      <w:pPr>
        <w:keepNext w:val="0"/>
        <w:keepLines w:val="0"/>
        <w:pageBreakBefore w:val="0"/>
        <w:widowControl w:val="0"/>
        <w:kinsoku/>
        <w:wordWrap/>
        <w:overflowPunct/>
        <w:topLinePunct w:val="0"/>
        <w:autoSpaceDE w:val="0"/>
        <w:autoSpaceDN w:val="0"/>
        <w:bidi w:val="0"/>
        <w:adjustRightInd w:val="0"/>
        <w:snapToGrid/>
        <w:ind w:left="0" w:leftChars="0" w:firstLine="640" w:firstLineChars="200"/>
        <w:textAlignment w:val="auto"/>
        <w:rPr>
          <w:rFonts w:hint="eastAsia" w:ascii="仿宋_GB2312" w:eastAsia="仿宋_GB2312" w:cs="DejaVuSans"/>
          <w:color w:val="000000" w:themeColor="text1"/>
          <w:kern w:val="0"/>
          <w:sz w:val="32"/>
          <w:szCs w:val="32"/>
          <w:lang w:eastAsia="zh-CN"/>
          <w14:textFill>
            <w14:solidFill>
              <w14:schemeClr w14:val="tx1"/>
            </w14:solidFill>
          </w14:textFill>
        </w:rPr>
      </w:pPr>
      <w:r>
        <w:rPr>
          <w:rFonts w:hint="eastAsia" w:ascii="仿宋_GB2312" w:eastAsia="仿宋_GB2312" w:cs="DejaVuSans"/>
          <w:color w:val="000000" w:themeColor="text1"/>
          <w:kern w:val="0"/>
          <w:sz w:val="32"/>
          <w:szCs w:val="32"/>
          <w:lang w:eastAsia="zh-CN"/>
          <w14:textFill>
            <w14:solidFill>
              <w14:schemeClr w14:val="tx1"/>
            </w14:solidFill>
          </w14:textFill>
        </w:rPr>
        <w:t>形成</w:t>
      </w:r>
      <w:r>
        <w:rPr>
          <w:rFonts w:hint="eastAsia" w:ascii="仿宋_GB2312" w:eastAsia="仿宋_GB2312" w:cs="DejaVuSans"/>
          <w:color w:val="000000"/>
          <w:kern w:val="0"/>
          <w:sz w:val="32"/>
          <w:szCs w:val="32"/>
          <w:lang w:eastAsia="zh-CN"/>
        </w:rPr>
        <w:t>福建省无线电管理信息网网络地址安全策略研究项目课题报告</w:t>
      </w:r>
      <w:r>
        <w:rPr>
          <w:rFonts w:hint="eastAsia" w:ascii="仿宋_GB2312" w:eastAsia="仿宋_GB2312" w:cs="DejaVuSans"/>
          <w:color w:val="000000" w:themeColor="text1"/>
          <w:kern w:val="0"/>
          <w:sz w:val="32"/>
          <w:szCs w:val="32"/>
          <w14:textFill>
            <w14:solidFill>
              <w14:schemeClr w14:val="tx1"/>
            </w14:solidFill>
          </w14:textFill>
        </w:rPr>
        <w:t>并通过专家评审</w:t>
      </w:r>
      <w:r>
        <w:rPr>
          <w:rFonts w:hint="eastAsia" w:ascii="仿宋_GB2312" w:eastAsia="仿宋_GB2312" w:cs="DejaVuSans"/>
          <w:color w:val="000000" w:themeColor="text1"/>
          <w:kern w:val="0"/>
          <w:sz w:val="32"/>
          <w:szCs w:val="32"/>
          <w:lang w:eastAsia="zh-CN"/>
          <w14:textFill>
            <w14:solidFill>
              <w14:schemeClr w14:val="tx1"/>
            </w14:solidFill>
          </w14:textFill>
        </w:rPr>
        <w:t>，提供以下方案和标准：</w:t>
      </w:r>
    </w:p>
    <w:p>
      <w:pPr>
        <w:keepNext w:val="0"/>
        <w:keepLines w:val="0"/>
        <w:pageBreakBefore w:val="0"/>
        <w:widowControl w:val="0"/>
        <w:numPr>
          <w:ilvl w:val="0"/>
          <w:numId w:val="6"/>
        </w:numPr>
        <w:kinsoku/>
        <w:wordWrap/>
        <w:overflowPunct/>
        <w:topLinePunct w:val="0"/>
        <w:autoSpaceDE w:val="0"/>
        <w:autoSpaceDN w:val="0"/>
        <w:bidi w:val="0"/>
        <w:adjustRightInd w:val="0"/>
        <w:snapToGrid/>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福建省无线电管理信息网IP地址整体规划分配方案</w:t>
      </w:r>
    </w:p>
    <w:p>
      <w:pPr>
        <w:keepNext w:val="0"/>
        <w:keepLines w:val="0"/>
        <w:pageBreakBefore w:val="0"/>
        <w:widowControl w:val="0"/>
        <w:numPr>
          <w:ilvl w:val="0"/>
          <w:numId w:val="6"/>
        </w:numPr>
        <w:kinsoku/>
        <w:wordWrap/>
        <w:overflowPunct/>
        <w:topLinePunct w:val="0"/>
        <w:autoSpaceDE w:val="0"/>
        <w:autoSpaceDN w:val="0"/>
        <w:bidi w:val="0"/>
        <w:adjustRightInd w:val="0"/>
        <w:snapToGrid/>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福建省无线电管理信息网</w:t>
      </w:r>
      <w:r>
        <w:rPr>
          <w:rFonts w:hint="eastAsia" w:ascii="仿宋_GB2312" w:hAnsi="仿宋_GB2312" w:eastAsia="仿宋_GB2312" w:cs="仿宋_GB2312"/>
          <w:sz w:val="32"/>
          <w:szCs w:val="32"/>
        </w:rPr>
        <w:t>监测站</w:t>
      </w:r>
      <w:r>
        <w:rPr>
          <w:rFonts w:hint="eastAsia" w:ascii="仿宋_GB2312" w:hAnsi="仿宋_GB2312" w:eastAsia="仿宋_GB2312" w:cs="仿宋_GB2312"/>
          <w:sz w:val="32"/>
          <w:szCs w:val="32"/>
          <w:lang w:eastAsia="zh-CN"/>
        </w:rPr>
        <w:t>点的</w:t>
      </w:r>
      <w:r>
        <w:rPr>
          <w:rFonts w:hint="eastAsia" w:ascii="仿宋_GB2312" w:hAnsi="仿宋_GB2312" w:eastAsia="仿宋_GB2312" w:cs="仿宋_GB2312"/>
          <w:sz w:val="32"/>
          <w:szCs w:val="32"/>
        </w:rPr>
        <w:t>组网建设标准</w:t>
      </w:r>
      <w:r>
        <w:rPr>
          <w:rFonts w:hint="eastAsia" w:ascii="仿宋_GB2312" w:hAnsi="仿宋_GB2312" w:eastAsia="仿宋_GB2312" w:cs="仿宋_GB2312"/>
          <w:sz w:val="32"/>
          <w:szCs w:val="32"/>
          <w:lang w:val="en-US" w:eastAsia="zh-CN"/>
        </w:rPr>
        <w:t>。</w:t>
      </w:r>
    </w:p>
    <w:p>
      <w:pPr>
        <w:keepNext w:val="0"/>
        <w:keepLines w:val="0"/>
        <w:pageBreakBefore w:val="0"/>
        <w:widowControl w:val="0"/>
        <w:numPr>
          <w:ilvl w:val="0"/>
          <w:numId w:val="6"/>
        </w:numPr>
        <w:kinsoku/>
        <w:wordWrap/>
        <w:overflowPunct/>
        <w:topLinePunct w:val="0"/>
        <w:autoSpaceDE w:val="0"/>
        <w:autoSpaceDN w:val="0"/>
        <w:bidi w:val="0"/>
        <w:adjustRightInd w:val="0"/>
        <w:snapToGrid/>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福建省无线电管理信息网网络安全策略管理技术路线和优化方案。</w:t>
      </w:r>
    </w:p>
    <w:p>
      <w:pPr>
        <w:keepNext w:val="0"/>
        <w:keepLines w:val="0"/>
        <w:pageBreakBefore w:val="0"/>
        <w:widowControl w:val="0"/>
        <w:numPr>
          <w:ilvl w:val="0"/>
          <w:numId w:val="6"/>
        </w:numPr>
        <w:kinsoku/>
        <w:wordWrap/>
        <w:overflowPunct/>
        <w:topLinePunct w:val="0"/>
        <w:autoSpaceDE w:val="0"/>
        <w:autoSpaceDN w:val="0"/>
        <w:bidi w:val="0"/>
        <w:adjustRightInd w:val="0"/>
        <w:snapToGrid/>
        <w:ind w:left="0" w:leftChars="0" w:firstLine="640" w:firstLineChars="200"/>
        <w:textAlignment w:val="auto"/>
        <w:outlineLvl w:val="3"/>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福建省无线电管理信息网</w:t>
      </w:r>
      <w:r>
        <w:rPr>
          <w:rFonts w:hint="eastAsia" w:ascii="仿宋_GB2312" w:hAnsi="仿宋_GB2312" w:eastAsia="仿宋_GB2312" w:cs="仿宋_GB2312"/>
          <w:sz w:val="32"/>
          <w:szCs w:val="32"/>
        </w:rPr>
        <w:t>网络架构及设备</w:t>
      </w:r>
      <w:r>
        <w:rPr>
          <w:rFonts w:hint="eastAsia" w:ascii="仿宋_GB2312" w:hAnsi="仿宋_GB2312" w:eastAsia="仿宋_GB2312" w:cs="仿宋_GB2312"/>
          <w:sz w:val="32"/>
          <w:szCs w:val="32"/>
          <w:lang w:eastAsia="zh-CN"/>
        </w:rPr>
        <w:t>升级</w:t>
      </w:r>
      <w:r>
        <w:rPr>
          <w:rFonts w:hint="eastAsia" w:ascii="仿宋_GB2312" w:hAnsi="仿宋_GB2312" w:eastAsia="仿宋_GB2312" w:cs="仿宋_GB2312"/>
          <w:sz w:val="32"/>
          <w:szCs w:val="32"/>
        </w:rPr>
        <w:t>改造方案。</w:t>
      </w:r>
    </w:p>
    <w:p>
      <w:pPr>
        <w:keepNext w:val="0"/>
        <w:keepLines w:val="0"/>
        <w:pageBreakBefore w:val="0"/>
        <w:widowControl w:val="0"/>
        <w:numPr>
          <w:ilvl w:val="0"/>
          <w:numId w:val="5"/>
        </w:numPr>
        <w:kinsoku/>
        <w:wordWrap/>
        <w:overflowPunct/>
        <w:topLinePunct w:val="0"/>
        <w:autoSpaceDE/>
        <w:autoSpaceDN/>
        <w:bidi w:val="0"/>
        <w:adjustRightInd/>
        <w:snapToGrid/>
        <w:ind w:left="0" w:leftChars="0" w:firstLine="640" w:firstLineChars="200"/>
        <w:textAlignment w:val="auto"/>
        <w:outlineLvl w:val="2"/>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成果规范</w:t>
      </w:r>
    </w:p>
    <w:p>
      <w:pPr>
        <w:keepNext w:val="0"/>
        <w:keepLines w:val="0"/>
        <w:pageBreakBefore w:val="0"/>
        <w:widowControl w:val="0"/>
        <w:kinsoku/>
        <w:wordWrap/>
        <w:overflowPunct/>
        <w:topLinePunct w:val="0"/>
        <w:autoSpaceDE w:val="0"/>
        <w:autoSpaceDN w:val="0"/>
        <w:bidi w:val="0"/>
        <w:adjustRightInd w:val="0"/>
        <w:snapToGrid/>
        <w:ind w:left="0" w:leftChars="0" w:firstLine="640" w:firstLineChars="200"/>
        <w:textAlignment w:val="auto"/>
        <w:rPr>
          <w:rFonts w:hint="eastAsia" w:ascii="仿宋_GB2312" w:eastAsia="仿宋_GB2312" w:cs="DejaVuSans"/>
          <w:color w:val="000000" w:themeColor="text1"/>
          <w:kern w:val="0"/>
          <w:sz w:val="32"/>
          <w:szCs w:val="32"/>
          <w14:textFill>
            <w14:solidFill>
              <w14:schemeClr w14:val="tx1"/>
            </w14:solidFill>
          </w14:textFill>
        </w:rPr>
      </w:pPr>
      <w:r>
        <w:rPr>
          <w:rFonts w:hint="eastAsia" w:ascii="仿宋_GB2312" w:eastAsia="仿宋_GB2312" w:cs="DejaVuSans"/>
          <w:color w:val="000000" w:themeColor="text1"/>
          <w:kern w:val="0"/>
          <w:sz w:val="32"/>
          <w:szCs w:val="32"/>
          <w14:textFill>
            <w14:solidFill>
              <w14:schemeClr w14:val="tx1"/>
            </w14:solidFill>
          </w14:textFill>
        </w:rPr>
        <w:t>文本文件必须做到清晰、完整、准确。提交的正式工作成果须加注采购人名称、供应商名称名单。</w:t>
      </w:r>
    </w:p>
    <w:p>
      <w:pPr>
        <w:keepNext w:val="0"/>
        <w:keepLines w:val="0"/>
        <w:pageBreakBefore w:val="0"/>
        <w:widowControl w:val="0"/>
        <w:numPr>
          <w:ilvl w:val="0"/>
          <w:numId w:val="5"/>
        </w:numPr>
        <w:kinsoku/>
        <w:wordWrap/>
        <w:overflowPunct/>
        <w:topLinePunct w:val="0"/>
        <w:autoSpaceDE/>
        <w:autoSpaceDN/>
        <w:bidi w:val="0"/>
        <w:adjustRightInd/>
        <w:snapToGrid/>
        <w:ind w:left="0" w:leftChars="0" w:firstLine="640" w:firstLineChars="200"/>
        <w:textAlignment w:val="auto"/>
        <w:outlineLvl w:val="2"/>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成果格式</w:t>
      </w:r>
    </w:p>
    <w:p>
      <w:pPr>
        <w:keepNext w:val="0"/>
        <w:keepLines w:val="0"/>
        <w:pageBreakBefore w:val="0"/>
        <w:widowControl w:val="0"/>
        <w:kinsoku/>
        <w:wordWrap/>
        <w:overflowPunct/>
        <w:topLinePunct w:val="0"/>
        <w:autoSpaceDE w:val="0"/>
        <w:autoSpaceDN w:val="0"/>
        <w:bidi w:val="0"/>
        <w:adjustRightInd w:val="0"/>
        <w:snapToGrid/>
        <w:ind w:left="0" w:leftChars="0" w:firstLine="640" w:firstLineChars="200"/>
        <w:textAlignment w:val="auto"/>
        <w:rPr>
          <w:rFonts w:hint="eastAsia" w:ascii="仿宋_GB2312" w:eastAsia="仿宋_GB2312" w:cs="DejaVuSans"/>
          <w:color w:val="000000" w:themeColor="text1"/>
          <w:kern w:val="0"/>
          <w:sz w:val="32"/>
          <w:szCs w:val="32"/>
          <w14:textFill>
            <w14:solidFill>
              <w14:schemeClr w14:val="tx1"/>
            </w14:solidFill>
          </w14:textFill>
        </w:rPr>
      </w:pPr>
      <w:r>
        <w:rPr>
          <w:rFonts w:hint="eastAsia" w:ascii="仿宋_GB2312" w:eastAsia="仿宋_GB2312" w:cs="DejaVuSans"/>
          <w:color w:val="000000" w:themeColor="text1"/>
          <w:kern w:val="0"/>
          <w:sz w:val="32"/>
          <w:szCs w:val="32"/>
          <w14:textFill>
            <w14:solidFill>
              <w14:schemeClr w14:val="tx1"/>
            </w14:solidFill>
          </w14:textFill>
        </w:rPr>
        <w:t>全部成果均应制作计算机数据文件，文本文件采用word格式文件，图形文件采用JPG格式文件，汇报演示文件采用PPT格式，提供研究报告文稿的书面装订文本5份和电子文本1份。</w:t>
      </w:r>
    </w:p>
    <w:p>
      <w:pPr>
        <w:pStyle w:val="8"/>
        <w:numPr>
          <w:ilvl w:val="0"/>
          <w:numId w:val="2"/>
        </w:numPr>
        <w:ind w:firstLineChars="0"/>
        <w:outlineLvl w:val="1"/>
        <w:rPr>
          <w:rFonts w:hint="eastAsia" w:ascii="楷体" w:hAnsi="楷体" w:eastAsia="楷体"/>
          <w:b/>
          <w:sz w:val="32"/>
          <w:szCs w:val="32"/>
        </w:rPr>
      </w:pPr>
      <w:r>
        <w:rPr>
          <w:rFonts w:hint="eastAsia" w:ascii="楷体" w:hAnsi="楷体" w:eastAsia="楷体"/>
          <w:b/>
          <w:sz w:val="32"/>
          <w:szCs w:val="32"/>
        </w:rPr>
        <w:t>附则</w:t>
      </w:r>
    </w:p>
    <w:p>
      <w:pPr>
        <w:keepNext w:val="0"/>
        <w:keepLines w:val="0"/>
        <w:pageBreakBefore w:val="0"/>
        <w:widowControl w:val="0"/>
        <w:numPr>
          <w:ilvl w:val="0"/>
          <w:numId w:val="7"/>
        </w:numPr>
        <w:kinsoku/>
        <w:wordWrap/>
        <w:overflowPunct/>
        <w:topLinePunct w:val="0"/>
        <w:autoSpaceDE/>
        <w:autoSpaceDN/>
        <w:bidi w:val="0"/>
        <w:adjustRightInd/>
        <w:snapToGrid/>
        <w:ind w:left="0" w:leftChars="0" w:firstLine="640" w:firstLineChars="200"/>
        <w:textAlignment w:val="auto"/>
        <w:outlineLvl w:val="2"/>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公开展示的限制</w:t>
      </w:r>
    </w:p>
    <w:p>
      <w:pPr>
        <w:keepNext w:val="0"/>
        <w:keepLines w:val="0"/>
        <w:pageBreakBefore w:val="0"/>
        <w:widowControl w:val="0"/>
        <w:kinsoku/>
        <w:wordWrap/>
        <w:overflowPunct/>
        <w:topLinePunct w:val="0"/>
        <w:autoSpaceDE w:val="0"/>
        <w:autoSpaceDN w:val="0"/>
        <w:bidi w:val="0"/>
        <w:adjustRightInd w:val="0"/>
        <w:snapToGrid/>
        <w:ind w:left="0" w:leftChars="0" w:firstLine="640" w:firstLineChars="200"/>
        <w:textAlignment w:val="auto"/>
        <w:rPr>
          <w:rFonts w:ascii="仿宋_GB2312" w:eastAsia="仿宋_GB2312" w:cs="DejaVuSans"/>
          <w:color w:val="000000" w:themeColor="text1"/>
          <w:kern w:val="0"/>
          <w:sz w:val="32"/>
          <w:szCs w:val="32"/>
          <w14:textFill>
            <w14:solidFill>
              <w14:schemeClr w14:val="tx1"/>
            </w14:solidFill>
          </w14:textFill>
        </w:rPr>
      </w:pPr>
      <w:r>
        <w:rPr>
          <w:rFonts w:hint="eastAsia" w:ascii="仿宋_GB2312" w:eastAsia="仿宋_GB2312" w:cs="DejaVuSans"/>
          <w:color w:val="000000" w:themeColor="text1"/>
          <w:kern w:val="0"/>
          <w:sz w:val="32"/>
          <w:szCs w:val="32"/>
          <w14:textFill>
            <w14:solidFill>
              <w14:schemeClr w14:val="tx1"/>
            </w14:solidFill>
          </w14:textFill>
        </w:rPr>
        <w:t>任何单位和个人未经采购人同意都无权以任何形式向社会公开展示研究成果。</w:t>
      </w:r>
    </w:p>
    <w:p>
      <w:pPr>
        <w:keepNext w:val="0"/>
        <w:keepLines w:val="0"/>
        <w:pageBreakBefore w:val="0"/>
        <w:widowControl w:val="0"/>
        <w:numPr>
          <w:ilvl w:val="0"/>
          <w:numId w:val="7"/>
        </w:numPr>
        <w:kinsoku/>
        <w:wordWrap/>
        <w:overflowPunct/>
        <w:topLinePunct w:val="0"/>
        <w:autoSpaceDE/>
        <w:autoSpaceDN/>
        <w:bidi w:val="0"/>
        <w:adjustRightInd/>
        <w:snapToGrid/>
        <w:ind w:left="0" w:leftChars="0" w:firstLine="640" w:firstLineChars="200"/>
        <w:textAlignment w:val="auto"/>
        <w:outlineLvl w:val="2"/>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解释权</w:t>
      </w:r>
    </w:p>
    <w:p>
      <w:pPr>
        <w:keepNext w:val="0"/>
        <w:keepLines w:val="0"/>
        <w:pageBreakBefore w:val="0"/>
        <w:widowControl w:val="0"/>
        <w:kinsoku/>
        <w:wordWrap/>
        <w:overflowPunct/>
        <w:topLinePunct w:val="0"/>
        <w:autoSpaceDE w:val="0"/>
        <w:autoSpaceDN w:val="0"/>
        <w:bidi w:val="0"/>
        <w:adjustRightInd w:val="0"/>
        <w:snapToGrid/>
        <w:ind w:left="0" w:leftChars="0" w:firstLine="640" w:firstLineChars="200"/>
        <w:textAlignment w:val="auto"/>
        <w:rPr>
          <w:rFonts w:hint="eastAsia" w:ascii="仿宋_GB2312" w:eastAsia="仿宋_GB2312" w:cs="DejaVuSans"/>
          <w:color w:val="000000" w:themeColor="text1"/>
          <w:kern w:val="0"/>
          <w:sz w:val="32"/>
          <w:szCs w:val="32"/>
          <w14:textFill>
            <w14:solidFill>
              <w14:schemeClr w14:val="tx1"/>
            </w14:solidFill>
          </w14:textFill>
        </w:rPr>
      </w:pPr>
      <w:r>
        <w:rPr>
          <w:rFonts w:hint="eastAsia" w:ascii="仿宋_GB2312" w:eastAsia="仿宋_GB2312" w:cs="DejaVuSans"/>
          <w:color w:val="000000" w:themeColor="text1"/>
          <w:kern w:val="0"/>
          <w:sz w:val="32"/>
          <w:szCs w:val="32"/>
          <w14:textFill>
            <w14:solidFill>
              <w14:schemeClr w14:val="tx1"/>
            </w14:solidFill>
          </w14:textFill>
        </w:rPr>
        <w:t>本需求书解释权归采购人所有。</w:t>
      </w:r>
    </w:p>
    <w:p>
      <w:pPr>
        <w:pStyle w:val="8"/>
        <w:keepNext w:val="0"/>
        <w:keepLines w:val="0"/>
        <w:pageBreakBefore w:val="0"/>
        <w:widowControl w:val="0"/>
        <w:numPr>
          <w:ilvl w:val="0"/>
          <w:numId w:val="1"/>
        </w:numPr>
        <w:kinsoku/>
        <w:wordWrap/>
        <w:overflowPunct/>
        <w:topLinePunct w:val="0"/>
        <w:autoSpaceDE w:val="0"/>
        <w:autoSpaceDN w:val="0"/>
        <w:bidi w:val="0"/>
        <w:adjustRightInd w:val="0"/>
        <w:snapToGrid/>
        <w:ind w:left="0" w:firstLine="640" w:firstLineChars="200"/>
        <w:jc w:val="left"/>
        <w:textAlignment w:val="auto"/>
        <w:outlineLvl w:val="0"/>
        <w:rPr>
          <w:rFonts w:hint="eastAsia" w:ascii="黑体" w:hAnsi="黑体" w:eastAsia="黑体" w:cs="宋体"/>
          <w:kern w:val="0"/>
          <w:sz w:val="32"/>
          <w:szCs w:val="32"/>
        </w:rPr>
      </w:pPr>
      <w:r>
        <w:rPr>
          <w:rFonts w:hint="eastAsia" w:ascii="黑体" w:hAnsi="黑体" w:eastAsia="黑体" w:cs="宋体"/>
          <w:kern w:val="0"/>
          <w:sz w:val="32"/>
          <w:szCs w:val="32"/>
        </w:rPr>
        <w:t>主要商务要求</w:t>
      </w:r>
    </w:p>
    <w:p>
      <w:pPr>
        <w:pStyle w:val="8"/>
        <w:numPr>
          <w:ilvl w:val="0"/>
          <w:numId w:val="8"/>
        </w:numPr>
        <w:ind w:firstLineChars="0"/>
        <w:outlineLvl w:val="1"/>
        <w:rPr>
          <w:rFonts w:hint="eastAsia" w:ascii="楷体" w:hAnsi="楷体" w:eastAsia="楷体"/>
          <w:b/>
          <w:sz w:val="32"/>
          <w:szCs w:val="32"/>
        </w:rPr>
      </w:pPr>
      <w:r>
        <w:rPr>
          <w:rFonts w:hint="eastAsia" w:ascii="楷体" w:hAnsi="楷体" w:eastAsia="楷体"/>
          <w:b/>
          <w:sz w:val="32"/>
          <w:szCs w:val="32"/>
        </w:rPr>
        <w:t>标的提供的时间</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ascii="仿宋_GB2312" w:eastAsia="仿宋_GB2312"/>
          <w:sz w:val="32"/>
          <w:szCs w:val="32"/>
        </w:rPr>
      </w:pPr>
      <w:r>
        <w:rPr>
          <w:rFonts w:hint="eastAsia" w:ascii="仿宋_GB2312" w:eastAsia="仿宋_GB2312"/>
          <w:sz w:val="32"/>
          <w:szCs w:val="32"/>
        </w:rPr>
        <w:t>签订合同后至202</w:t>
      </w:r>
      <w:r>
        <w:rPr>
          <w:rFonts w:hint="eastAsia" w:ascii="仿宋_GB2312" w:eastAsia="仿宋_GB2312"/>
          <w:sz w:val="32"/>
          <w:szCs w:val="32"/>
          <w:lang w:val="en-US" w:eastAsia="zh-CN"/>
        </w:rPr>
        <w:t>5</w:t>
      </w:r>
      <w:r>
        <w:rPr>
          <w:rFonts w:hint="eastAsia" w:ascii="仿宋_GB2312" w:eastAsia="仿宋_GB2312"/>
          <w:sz w:val="32"/>
          <w:szCs w:val="32"/>
        </w:rPr>
        <w:t>年</w:t>
      </w:r>
      <w:r>
        <w:rPr>
          <w:rFonts w:hint="eastAsia" w:ascii="仿宋_GB2312" w:eastAsia="仿宋_GB2312"/>
          <w:sz w:val="32"/>
          <w:szCs w:val="32"/>
          <w:lang w:val="en-US" w:eastAsia="zh-CN"/>
        </w:rPr>
        <w:t>11</w:t>
      </w:r>
      <w:r>
        <w:rPr>
          <w:rFonts w:hint="eastAsia" w:ascii="仿宋_GB2312" w:eastAsia="仿宋_GB2312"/>
          <w:sz w:val="32"/>
          <w:szCs w:val="32"/>
        </w:rPr>
        <w:t>月3</w:t>
      </w:r>
      <w:r>
        <w:rPr>
          <w:rFonts w:hint="eastAsia" w:ascii="仿宋_GB2312" w:eastAsia="仿宋_GB2312"/>
          <w:sz w:val="32"/>
          <w:szCs w:val="32"/>
          <w:lang w:val="en-US" w:eastAsia="zh-CN"/>
        </w:rPr>
        <w:t>0</w:t>
      </w:r>
      <w:r>
        <w:rPr>
          <w:rFonts w:hint="eastAsia" w:ascii="仿宋_GB2312" w:eastAsia="仿宋_GB2312"/>
          <w:sz w:val="32"/>
          <w:szCs w:val="32"/>
        </w:rPr>
        <w:t>日，如有特殊情况，供应商应继续履行服务至本项工作全部完成。</w:t>
      </w:r>
    </w:p>
    <w:p>
      <w:pPr>
        <w:pStyle w:val="8"/>
        <w:numPr>
          <w:ilvl w:val="0"/>
          <w:numId w:val="8"/>
        </w:numPr>
        <w:ind w:firstLineChars="0"/>
        <w:outlineLvl w:val="1"/>
        <w:rPr>
          <w:rFonts w:hint="eastAsia" w:ascii="楷体" w:hAnsi="楷体" w:eastAsia="楷体"/>
          <w:b/>
          <w:sz w:val="32"/>
          <w:szCs w:val="32"/>
        </w:rPr>
      </w:pPr>
      <w:r>
        <w:rPr>
          <w:rFonts w:hint="eastAsia" w:ascii="楷体" w:hAnsi="楷体" w:eastAsia="楷体"/>
          <w:b/>
          <w:sz w:val="32"/>
          <w:szCs w:val="32"/>
        </w:rPr>
        <w:t>付款方式</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eastAsia="仿宋_GB2312"/>
          <w:sz w:val="32"/>
          <w:szCs w:val="32"/>
          <w:lang w:eastAsia="zh-CN"/>
        </w:rPr>
      </w:pPr>
      <w:r>
        <w:rPr>
          <w:rFonts w:hint="eastAsia" w:ascii="仿宋_GB2312" w:eastAsia="仿宋_GB2312"/>
          <w:sz w:val="32"/>
          <w:szCs w:val="32"/>
        </w:rPr>
        <w:t>1期：支付比例</w:t>
      </w:r>
      <w:r>
        <w:rPr>
          <w:rFonts w:hint="eastAsia" w:ascii="仿宋_GB2312" w:eastAsia="仿宋_GB2312"/>
          <w:sz w:val="32"/>
          <w:szCs w:val="32"/>
          <w:lang w:val="en-US" w:eastAsia="zh-CN"/>
        </w:rPr>
        <w:t>5</w:t>
      </w:r>
      <w:r>
        <w:rPr>
          <w:rFonts w:hint="eastAsia" w:ascii="仿宋_GB2312" w:eastAsia="仿宋_GB2312"/>
          <w:sz w:val="32"/>
          <w:szCs w:val="32"/>
        </w:rPr>
        <w:t>0%，采购人与供应商签订合同后，供应商向采购人提供相应的发票</w:t>
      </w:r>
      <w:r>
        <w:rPr>
          <w:rFonts w:hint="eastAsia" w:ascii="仿宋" w:hAnsi="仿宋" w:eastAsia="仿宋" w:cs="仿宋"/>
          <w:color w:val="000000"/>
          <w:kern w:val="0"/>
          <w:sz w:val="32"/>
          <w:szCs w:val="32"/>
          <w:shd w:val="clear" w:color="auto" w:fill="FFFFFF"/>
        </w:rPr>
        <w:t>及支付文件</w:t>
      </w:r>
      <w:r>
        <w:rPr>
          <w:rFonts w:hint="eastAsia" w:ascii="仿宋_GB2312" w:eastAsia="仿宋_GB2312"/>
          <w:sz w:val="32"/>
          <w:szCs w:val="32"/>
        </w:rPr>
        <w:t>后10个工作日内，采购人向供应商支付合同金额50%的合同款</w:t>
      </w:r>
      <w:r>
        <w:rPr>
          <w:rFonts w:hint="eastAsia" w:ascii="仿宋_GB2312" w:eastAsia="仿宋_GB2312"/>
          <w:sz w:val="32"/>
          <w:szCs w:val="32"/>
          <w:lang w:val="en-US" w:eastAsia="zh-CN"/>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ascii="仿宋_GB2312" w:eastAsia="仿宋_GB2312"/>
          <w:sz w:val="32"/>
          <w:szCs w:val="32"/>
        </w:rPr>
      </w:pPr>
      <w:r>
        <w:rPr>
          <w:rFonts w:hint="eastAsia" w:ascii="仿宋_GB2312" w:eastAsia="仿宋_GB2312"/>
          <w:sz w:val="32"/>
          <w:szCs w:val="32"/>
        </w:rPr>
        <w:t>2期：支付比例50%，</w:t>
      </w:r>
      <w:r>
        <w:rPr>
          <w:rFonts w:hint="eastAsia" w:ascii="仿宋" w:hAnsi="仿宋" w:eastAsia="仿宋" w:cs="仿宋"/>
          <w:color w:val="000000"/>
          <w:kern w:val="0"/>
          <w:sz w:val="32"/>
          <w:szCs w:val="32"/>
          <w:shd w:val="clear" w:color="auto" w:fill="FFFFFF"/>
        </w:rPr>
        <w:t>项目验收通过</w:t>
      </w:r>
      <w:r>
        <w:rPr>
          <w:rFonts w:hint="eastAsia" w:ascii="仿宋_GB2312" w:eastAsia="仿宋_GB2312"/>
          <w:sz w:val="32"/>
          <w:szCs w:val="32"/>
        </w:rPr>
        <w:t>后，</w:t>
      </w:r>
      <w:bookmarkStart w:id="0" w:name="_Hlk166576779"/>
      <w:r>
        <w:rPr>
          <w:rFonts w:hint="eastAsia" w:ascii="仿宋_GB2312" w:eastAsia="仿宋_GB2312"/>
          <w:sz w:val="32"/>
          <w:szCs w:val="32"/>
        </w:rPr>
        <w:t>供应商向采购人提供相应的发票及支付文件</w:t>
      </w:r>
      <w:bookmarkEnd w:id="0"/>
      <w:r>
        <w:rPr>
          <w:rFonts w:hint="eastAsia" w:ascii="仿宋_GB2312" w:eastAsia="仿宋_GB2312"/>
          <w:sz w:val="32"/>
          <w:szCs w:val="32"/>
        </w:rPr>
        <w:t>后10个工作日内，采购人向供应商支付合同金额50%的合同款。</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eastAsia="仿宋_GB2312"/>
          <w:sz w:val="32"/>
          <w:szCs w:val="32"/>
        </w:rPr>
      </w:pPr>
      <w:r>
        <w:rPr>
          <w:rFonts w:hint="eastAsia" w:ascii="仿宋_GB2312" w:eastAsia="仿宋_GB2312"/>
          <w:sz w:val="32"/>
          <w:szCs w:val="32"/>
        </w:rPr>
        <w:t>采购人在前款规定的付款时间为向相关采购支付部门提出办理财政支付申请手续的时间（不含政府财政支付部门审核的时间）。采购人支付的每一笔款项，供应商须提前提供等数额的发票给采购人。如因供应商未及时提供等额发票，采购人不因此承担迟延付款的责任。</w:t>
      </w:r>
    </w:p>
    <w:p>
      <w:pPr>
        <w:pStyle w:val="8"/>
        <w:numPr>
          <w:ilvl w:val="0"/>
          <w:numId w:val="8"/>
        </w:numPr>
        <w:ind w:firstLineChars="0"/>
        <w:outlineLvl w:val="1"/>
        <w:rPr>
          <w:rFonts w:hint="eastAsia" w:ascii="楷体" w:hAnsi="楷体" w:eastAsia="楷体"/>
          <w:b/>
          <w:sz w:val="32"/>
          <w:szCs w:val="32"/>
        </w:rPr>
      </w:pPr>
      <w:r>
        <w:rPr>
          <w:rFonts w:hint="eastAsia" w:ascii="楷体" w:hAnsi="楷体" w:eastAsia="楷体"/>
          <w:b/>
          <w:sz w:val="32"/>
          <w:szCs w:val="32"/>
        </w:rPr>
        <w:t>验收要求</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eastAsia="仿宋_GB2312"/>
          <w:sz w:val="32"/>
          <w:szCs w:val="32"/>
        </w:rPr>
      </w:pPr>
      <w:r>
        <w:rPr>
          <w:rFonts w:hint="eastAsia" w:ascii="仿宋_GB2312" w:eastAsia="仿宋_GB2312"/>
          <w:sz w:val="32"/>
          <w:szCs w:val="32"/>
        </w:rPr>
        <w:t>采购人对供应商的研究成果组织不少于3名专家进行专业评审，所需经费从本项目预算经费中列支。供应商按评审意见修改完善并提交研究报告终稿后课题结题。</w:t>
      </w:r>
    </w:p>
    <w:p>
      <w:pPr>
        <w:pStyle w:val="8"/>
        <w:numPr>
          <w:ilvl w:val="0"/>
          <w:numId w:val="8"/>
        </w:numPr>
        <w:ind w:firstLineChars="0"/>
        <w:outlineLvl w:val="1"/>
        <w:rPr>
          <w:rFonts w:hint="eastAsia" w:ascii="楷体" w:hAnsi="楷体" w:eastAsia="楷体"/>
          <w:b/>
          <w:sz w:val="32"/>
          <w:szCs w:val="32"/>
        </w:rPr>
      </w:pPr>
      <w:r>
        <w:rPr>
          <w:rFonts w:hint="eastAsia" w:ascii="楷体" w:hAnsi="楷体" w:eastAsia="楷体"/>
          <w:b/>
          <w:sz w:val="32"/>
          <w:szCs w:val="32"/>
        </w:rPr>
        <w:t>履约保证金</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ascii="仿宋_GB2312" w:eastAsia="仿宋_GB2312"/>
          <w:sz w:val="32"/>
          <w:szCs w:val="32"/>
        </w:rPr>
      </w:pPr>
      <w:r>
        <w:rPr>
          <w:rFonts w:hint="eastAsia" w:ascii="仿宋_GB2312" w:eastAsia="仿宋_GB2312"/>
          <w:sz w:val="32"/>
          <w:szCs w:val="32"/>
        </w:rPr>
        <w:t>不收取。</w:t>
      </w:r>
    </w:p>
    <w:p>
      <w:pPr>
        <w:pStyle w:val="8"/>
        <w:keepNext w:val="0"/>
        <w:keepLines w:val="0"/>
        <w:pageBreakBefore w:val="0"/>
        <w:widowControl w:val="0"/>
        <w:numPr>
          <w:ilvl w:val="0"/>
          <w:numId w:val="1"/>
        </w:numPr>
        <w:kinsoku/>
        <w:wordWrap/>
        <w:overflowPunct/>
        <w:topLinePunct w:val="0"/>
        <w:autoSpaceDE w:val="0"/>
        <w:autoSpaceDN w:val="0"/>
        <w:bidi w:val="0"/>
        <w:adjustRightInd w:val="0"/>
        <w:snapToGrid/>
        <w:ind w:left="0" w:firstLine="640" w:firstLineChars="200"/>
        <w:jc w:val="left"/>
        <w:textAlignment w:val="auto"/>
        <w:outlineLvl w:val="0"/>
        <w:rPr>
          <w:rFonts w:hint="eastAsia" w:ascii="黑体" w:hAnsi="黑体" w:eastAsia="黑体" w:cs="宋体"/>
          <w:kern w:val="0"/>
          <w:sz w:val="32"/>
          <w:szCs w:val="32"/>
        </w:rPr>
      </w:pPr>
      <w:r>
        <w:rPr>
          <w:rFonts w:hint="eastAsia" w:ascii="黑体" w:hAnsi="黑体" w:eastAsia="黑体" w:cs="宋体"/>
          <w:kern w:val="0"/>
          <w:sz w:val="32"/>
          <w:szCs w:val="32"/>
        </w:rPr>
        <w:t>资格要求</w:t>
      </w:r>
    </w:p>
    <w:p>
      <w:pPr>
        <w:keepNext w:val="0"/>
        <w:keepLines w:val="0"/>
        <w:pageBreakBefore w:val="0"/>
        <w:widowControl w:val="0"/>
        <w:kinsoku/>
        <w:wordWrap/>
        <w:overflowPunct/>
        <w:topLinePunct w:val="0"/>
        <w:autoSpaceDE/>
        <w:autoSpaceDN/>
        <w:bidi w:val="0"/>
        <w:adjustRightInd/>
        <w:snapToGrid/>
        <w:ind w:firstLine="380" w:firstLineChars="200"/>
        <w:textAlignment w:val="auto"/>
        <w:rPr>
          <w:rFonts w:ascii="宋体" w:eastAsia="宋体" w:cs="宋体"/>
          <w:kern w:val="0"/>
          <w:sz w:val="19"/>
          <w:szCs w:val="19"/>
        </w:rPr>
      </w:pPr>
      <w:r>
        <w:rPr>
          <w:rFonts w:hint="eastAsia" w:ascii="宋体" w:eastAsia="宋体" w:cs="宋体"/>
          <w:kern w:val="0"/>
          <w:sz w:val="19"/>
          <w:szCs w:val="19"/>
        </w:rPr>
        <w:t>　　</w:t>
      </w:r>
      <w:r>
        <w:rPr>
          <w:rFonts w:hint="eastAsia" w:ascii="仿宋_GB2312" w:eastAsia="仿宋_GB2312"/>
          <w:sz w:val="32"/>
          <w:szCs w:val="32"/>
        </w:rPr>
        <w:t>（一）在中华人民共和国境内注册，具有独立承担民事责任的能力的研究机构、高校、行业协会等企事业单位和社会团体等；</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eastAsia="仿宋_GB2312"/>
          <w:sz w:val="32"/>
          <w:szCs w:val="32"/>
        </w:rPr>
      </w:pPr>
      <w:r>
        <w:rPr>
          <w:rFonts w:hint="eastAsia" w:ascii="仿宋_GB2312" w:eastAsia="仿宋_GB2312"/>
          <w:sz w:val="32"/>
          <w:szCs w:val="32"/>
        </w:rPr>
        <w:t>（二）具有良好信誉，遵守国家有关法律、法规和规章，参加本采购活动前</w:t>
      </w:r>
      <w:r>
        <w:rPr>
          <w:rFonts w:ascii="仿宋_GB2312" w:eastAsia="仿宋_GB2312"/>
          <w:sz w:val="32"/>
          <w:szCs w:val="32"/>
        </w:rPr>
        <w:t>3</w:t>
      </w:r>
      <w:r>
        <w:rPr>
          <w:rFonts w:hint="eastAsia" w:ascii="仿宋_GB2312" w:eastAsia="仿宋_GB2312"/>
          <w:sz w:val="32"/>
          <w:szCs w:val="32"/>
        </w:rPr>
        <w:t>年内，在经营活动中没有重大违法记录行为；</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eastAsia="仿宋_GB2312"/>
          <w:sz w:val="32"/>
          <w:szCs w:val="32"/>
        </w:rPr>
      </w:pPr>
      <w:r>
        <w:rPr>
          <w:rFonts w:hint="eastAsia" w:ascii="仿宋_GB2312" w:eastAsia="仿宋_GB2312"/>
          <w:sz w:val="32"/>
          <w:szCs w:val="32"/>
        </w:rPr>
        <w:t>（三）具备独立承担网络地址安全策略研究工作，拥有网络或信息化相关的项目经验，需提供近3年相关服务业绩证明材料；</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rPr>
        <w:t>（四）研究团队应不少于3名持有信息化相关中级以上工程师证书人员，至少有1名持有信息化相关高级工程师证书人员。需提供研究团队名单及所有成员近半年内任意一个月的社保缴交材料。</w:t>
      </w:r>
    </w:p>
    <w:sectPr>
      <w:pgSz w:w="11906" w:h="16838"/>
      <w:pgMar w:top="1440" w:right="1700" w:bottom="1440" w:left="156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方正小标宋简体">
    <w:altName w:val="宋体-方正超大字符集"/>
    <w:panose1 w:val="02010601030101010101"/>
    <w:charset w:val="86"/>
    <w:family w:val="auto"/>
    <w:pitch w:val="default"/>
    <w:sig w:usb0="00000000" w:usb1="00000000" w:usb2="00000000" w:usb3="00000000" w:csb0="00040000" w:csb1="00000000"/>
  </w:font>
  <w:font w:name="方正大标宋简体">
    <w:altName w:val="微软雅黑"/>
    <w:panose1 w:val="00000000000000000000"/>
    <w:charset w:val="86"/>
    <w:family w:val="auto"/>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DejaVuSans">
    <w:altName w:val="宋体"/>
    <w:panose1 w:val="00000000000000000000"/>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宋体-方正超大字符集">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等线">
    <w:altName w:val="微软雅黑"/>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D7FBB01"/>
    <w:multiLevelType w:val="singleLevel"/>
    <w:tmpl w:val="8D7FBB01"/>
    <w:lvl w:ilvl="0" w:tentative="0">
      <w:start w:val="1"/>
      <w:numFmt w:val="decimal"/>
      <w:suff w:val="nothing"/>
      <w:lvlText w:val="%1."/>
      <w:lvlJc w:val="left"/>
      <w:pPr>
        <w:ind w:left="0" w:leftChars="0" w:firstLine="40" w:firstLineChars="0"/>
      </w:pPr>
      <w:rPr>
        <w:rFonts w:hint="default"/>
      </w:rPr>
    </w:lvl>
  </w:abstractNum>
  <w:abstractNum w:abstractNumId="1">
    <w:nsid w:val="DC756ED5"/>
    <w:multiLevelType w:val="singleLevel"/>
    <w:tmpl w:val="DC756ED5"/>
    <w:lvl w:ilvl="0" w:tentative="0">
      <w:start w:val="1"/>
      <w:numFmt w:val="decimal"/>
      <w:suff w:val="nothing"/>
      <w:lvlText w:val="%1."/>
      <w:lvlJc w:val="left"/>
      <w:pPr>
        <w:ind w:left="0" w:leftChars="0" w:firstLine="40" w:firstLineChars="0"/>
      </w:pPr>
      <w:rPr>
        <w:rFonts w:hint="default"/>
      </w:rPr>
    </w:lvl>
  </w:abstractNum>
  <w:abstractNum w:abstractNumId="2">
    <w:nsid w:val="DC86691D"/>
    <w:multiLevelType w:val="singleLevel"/>
    <w:tmpl w:val="DC86691D"/>
    <w:lvl w:ilvl="0" w:tentative="0">
      <w:start w:val="1"/>
      <w:numFmt w:val="decimal"/>
      <w:lvlText w:val="(%1)"/>
      <w:lvlJc w:val="left"/>
      <w:pPr>
        <w:tabs>
          <w:tab w:val="left" w:pos="312"/>
        </w:tabs>
      </w:pPr>
    </w:lvl>
  </w:abstractNum>
  <w:abstractNum w:abstractNumId="3">
    <w:nsid w:val="00B39C13"/>
    <w:multiLevelType w:val="multilevel"/>
    <w:tmpl w:val="00B39C13"/>
    <w:lvl w:ilvl="0" w:tentative="0">
      <w:start w:val="1"/>
      <w:numFmt w:val="japaneseCounting"/>
      <w:lvlText w:val="（%1）"/>
      <w:lvlJc w:val="left"/>
      <w:pPr>
        <w:ind w:left="1140" w:hanging="720"/>
      </w:pPr>
      <w:rPr>
        <w:rFonts w:hint="default" w:ascii="楷体" w:hAnsi="楷体" w:eastAsia="楷体"/>
        <w:b w:val="0"/>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4">
    <w:nsid w:val="362D9A07"/>
    <w:multiLevelType w:val="singleLevel"/>
    <w:tmpl w:val="362D9A07"/>
    <w:lvl w:ilvl="0" w:tentative="0">
      <w:start w:val="1"/>
      <w:numFmt w:val="decimal"/>
      <w:suff w:val="nothing"/>
      <w:lvlText w:val="%1."/>
      <w:lvlJc w:val="left"/>
      <w:pPr>
        <w:ind w:left="0" w:leftChars="0" w:firstLine="40" w:firstLineChars="0"/>
      </w:pPr>
      <w:rPr>
        <w:rFonts w:hint="default"/>
      </w:rPr>
    </w:lvl>
  </w:abstractNum>
  <w:abstractNum w:abstractNumId="5">
    <w:nsid w:val="3DA361C9"/>
    <w:multiLevelType w:val="multilevel"/>
    <w:tmpl w:val="3DA361C9"/>
    <w:lvl w:ilvl="0" w:tentative="0">
      <w:start w:val="1"/>
      <w:numFmt w:val="japaneseCounting"/>
      <w:lvlText w:val="（%1）"/>
      <w:lvlJc w:val="left"/>
      <w:pPr>
        <w:ind w:left="1140" w:hanging="720"/>
      </w:pPr>
      <w:rPr>
        <w:rFonts w:hint="default" w:ascii="楷体" w:hAnsi="楷体" w:eastAsia="楷体"/>
        <w:b w:val="0"/>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6">
    <w:nsid w:val="5E9E123E"/>
    <w:multiLevelType w:val="multilevel"/>
    <w:tmpl w:val="5E9E123E"/>
    <w:lvl w:ilvl="0" w:tentative="0">
      <w:start w:val="1"/>
      <w:numFmt w:val="japaneseCounting"/>
      <w:lvlText w:val="%1、"/>
      <w:lvlJc w:val="left"/>
      <w:pPr>
        <w:ind w:left="2810" w:hanging="720"/>
      </w:pPr>
      <w:rPr>
        <w:rFonts w:hint="default" w:ascii="黑体" w:hAnsi="黑体" w:eastAsia="黑体"/>
        <w:sz w:val="32"/>
        <w:szCs w:val="32"/>
      </w:rPr>
    </w:lvl>
    <w:lvl w:ilvl="1" w:tentative="0">
      <w:start w:val="1"/>
      <w:numFmt w:val="lowerLetter"/>
      <w:lvlText w:val="%2)"/>
      <w:lvlJc w:val="left"/>
      <w:pPr>
        <w:ind w:left="2930" w:hanging="420"/>
      </w:pPr>
    </w:lvl>
    <w:lvl w:ilvl="2" w:tentative="0">
      <w:start w:val="1"/>
      <w:numFmt w:val="lowerRoman"/>
      <w:lvlText w:val="%3."/>
      <w:lvlJc w:val="right"/>
      <w:pPr>
        <w:ind w:left="3350" w:hanging="420"/>
      </w:pPr>
    </w:lvl>
    <w:lvl w:ilvl="3" w:tentative="0">
      <w:start w:val="1"/>
      <w:numFmt w:val="decimal"/>
      <w:lvlText w:val="%4."/>
      <w:lvlJc w:val="left"/>
      <w:pPr>
        <w:ind w:left="3770" w:hanging="420"/>
      </w:pPr>
    </w:lvl>
    <w:lvl w:ilvl="4" w:tentative="0">
      <w:start w:val="1"/>
      <w:numFmt w:val="lowerLetter"/>
      <w:lvlText w:val="%5)"/>
      <w:lvlJc w:val="left"/>
      <w:pPr>
        <w:ind w:left="4190" w:hanging="420"/>
      </w:pPr>
    </w:lvl>
    <w:lvl w:ilvl="5" w:tentative="0">
      <w:start w:val="1"/>
      <w:numFmt w:val="lowerRoman"/>
      <w:lvlText w:val="%6."/>
      <w:lvlJc w:val="right"/>
      <w:pPr>
        <w:ind w:left="4610" w:hanging="420"/>
      </w:pPr>
    </w:lvl>
    <w:lvl w:ilvl="6" w:tentative="0">
      <w:start w:val="1"/>
      <w:numFmt w:val="decimal"/>
      <w:lvlText w:val="%7."/>
      <w:lvlJc w:val="left"/>
      <w:pPr>
        <w:ind w:left="5030" w:hanging="420"/>
      </w:pPr>
    </w:lvl>
    <w:lvl w:ilvl="7" w:tentative="0">
      <w:start w:val="1"/>
      <w:numFmt w:val="lowerLetter"/>
      <w:lvlText w:val="%8)"/>
      <w:lvlJc w:val="left"/>
      <w:pPr>
        <w:ind w:left="5450" w:hanging="420"/>
      </w:pPr>
    </w:lvl>
    <w:lvl w:ilvl="8" w:tentative="0">
      <w:start w:val="1"/>
      <w:numFmt w:val="lowerRoman"/>
      <w:lvlText w:val="%9."/>
      <w:lvlJc w:val="right"/>
      <w:pPr>
        <w:ind w:left="5870" w:hanging="420"/>
      </w:pPr>
    </w:lvl>
  </w:abstractNum>
  <w:abstractNum w:abstractNumId="7">
    <w:nsid w:val="792F5BFB"/>
    <w:multiLevelType w:val="singleLevel"/>
    <w:tmpl w:val="792F5BFB"/>
    <w:lvl w:ilvl="0" w:tentative="0">
      <w:start w:val="1"/>
      <w:numFmt w:val="decimal"/>
      <w:suff w:val="nothing"/>
      <w:lvlText w:val="%1."/>
      <w:lvlJc w:val="left"/>
      <w:pPr>
        <w:ind w:left="0" w:leftChars="0" w:firstLine="40" w:firstLineChars="0"/>
      </w:pPr>
      <w:rPr>
        <w:rFonts w:hint="default"/>
      </w:rPr>
    </w:lvl>
  </w:abstractNum>
  <w:num w:numId="1">
    <w:abstractNumId w:val="6"/>
  </w:num>
  <w:num w:numId="2">
    <w:abstractNumId w:val="5"/>
  </w:num>
  <w:num w:numId="3">
    <w:abstractNumId w:val="7"/>
  </w:num>
  <w:num w:numId="4">
    <w:abstractNumId w:val="4"/>
  </w:num>
  <w:num w:numId="5">
    <w:abstractNumId w:val="1"/>
  </w:num>
  <w:num w:numId="6">
    <w:abstractNumId w:val="2"/>
  </w:num>
  <w:num w:numId="7">
    <w:abstractNumId w:val="0"/>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5EA9"/>
    <w:rsid w:val="0002086A"/>
    <w:rsid w:val="0003425E"/>
    <w:rsid w:val="00055C5A"/>
    <w:rsid w:val="00082B86"/>
    <w:rsid w:val="000B59AF"/>
    <w:rsid w:val="000C04DA"/>
    <w:rsid w:val="00105AE6"/>
    <w:rsid w:val="0010776B"/>
    <w:rsid w:val="00116098"/>
    <w:rsid w:val="00130503"/>
    <w:rsid w:val="00163A4E"/>
    <w:rsid w:val="001819E3"/>
    <w:rsid w:val="001C5FFF"/>
    <w:rsid w:val="001E6043"/>
    <w:rsid w:val="0021743F"/>
    <w:rsid w:val="00225916"/>
    <w:rsid w:val="0022624D"/>
    <w:rsid w:val="00290187"/>
    <w:rsid w:val="002B694C"/>
    <w:rsid w:val="002C0970"/>
    <w:rsid w:val="002D4B9D"/>
    <w:rsid w:val="002D4E5D"/>
    <w:rsid w:val="00335106"/>
    <w:rsid w:val="003372EC"/>
    <w:rsid w:val="00345E77"/>
    <w:rsid w:val="00361805"/>
    <w:rsid w:val="003A1E20"/>
    <w:rsid w:val="003A2404"/>
    <w:rsid w:val="003B23B2"/>
    <w:rsid w:val="00402577"/>
    <w:rsid w:val="004144EA"/>
    <w:rsid w:val="0042050C"/>
    <w:rsid w:val="00443F44"/>
    <w:rsid w:val="00486F90"/>
    <w:rsid w:val="0049528D"/>
    <w:rsid w:val="004F6B54"/>
    <w:rsid w:val="004F7E55"/>
    <w:rsid w:val="00500C01"/>
    <w:rsid w:val="00564BC9"/>
    <w:rsid w:val="005A4406"/>
    <w:rsid w:val="005C1480"/>
    <w:rsid w:val="005C7A05"/>
    <w:rsid w:val="005D17A9"/>
    <w:rsid w:val="00626AD9"/>
    <w:rsid w:val="006348E5"/>
    <w:rsid w:val="00691D40"/>
    <w:rsid w:val="006A3BA9"/>
    <w:rsid w:val="006B0C16"/>
    <w:rsid w:val="00702A3B"/>
    <w:rsid w:val="007035B1"/>
    <w:rsid w:val="007162EA"/>
    <w:rsid w:val="00724DCF"/>
    <w:rsid w:val="0072684B"/>
    <w:rsid w:val="007305FC"/>
    <w:rsid w:val="00736AFD"/>
    <w:rsid w:val="007413E5"/>
    <w:rsid w:val="00750C0B"/>
    <w:rsid w:val="00772C21"/>
    <w:rsid w:val="00775021"/>
    <w:rsid w:val="00797C74"/>
    <w:rsid w:val="007E1C13"/>
    <w:rsid w:val="00816DF8"/>
    <w:rsid w:val="0083060C"/>
    <w:rsid w:val="008413FB"/>
    <w:rsid w:val="00855AA0"/>
    <w:rsid w:val="00862314"/>
    <w:rsid w:val="008A06F9"/>
    <w:rsid w:val="008C1744"/>
    <w:rsid w:val="008E719E"/>
    <w:rsid w:val="00907E64"/>
    <w:rsid w:val="009158D2"/>
    <w:rsid w:val="009258A2"/>
    <w:rsid w:val="00927B45"/>
    <w:rsid w:val="00936BA1"/>
    <w:rsid w:val="009513AB"/>
    <w:rsid w:val="009514F8"/>
    <w:rsid w:val="0097538C"/>
    <w:rsid w:val="00997139"/>
    <w:rsid w:val="009C0823"/>
    <w:rsid w:val="009D4C82"/>
    <w:rsid w:val="00A208EC"/>
    <w:rsid w:val="00A20EFF"/>
    <w:rsid w:val="00A42B8A"/>
    <w:rsid w:val="00A50E12"/>
    <w:rsid w:val="00A92BE0"/>
    <w:rsid w:val="00AB7926"/>
    <w:rsid w:val="00AF2255"/>
    <w:rsid w:val="00B06790"/>
    <w:rsid w:val="00B20160"/>
    <w:rsid w:val="00B232E2"/>
    <w:rsid w:val="00B2475C"/>
    <w:rsid w:val="00B30868"/>
    <w:rsid w:val="00B324C1"/>
    <w:rsid w:val="00B45745"/>
    <w:rsid w:val="00B72E26"/>
    <w:rsid w:val="00B823E4"/>
    <w:rsid w:val="00B84A65"/>
    <w:rsid w:val="00BA26C4"/>
    <w:rsid w:val="00BA27BE"/>
    <w:rsid w:val="00BC3658"/>
    <w:rsid w:val="00BE5319"/>
    <w:rsid w:val="00C148F8"/>
    <w:rsid w:val="00C16EEE"/>
    <w:rsid w:val="00C27380"/>
    <w:rsid w:val="00C70DCF"/>
    <w:rsid w:val="00C94EF9"/>
    <w:rsid w:val="00C95FC0"/>
    <w:rsid w:val="00D005B6"/>
    <w:rsid w:val="00D33731"/>
    <w:rsid w:val="00D44FB0"/>
    <w:rsid w:val="00D65991"/>
    <w:rsid w:val="00D9364B"/>
    <w:rsid w:val="00D93FC9"/>
    <w:rsid w:val="00DE4693"/>
    <w:rsid w:val="00DE6257"/>
    <w:rsid w:val="00DE6F3A"/>
    <w:rsid w:val="00E12637"/>
    <w:rsid w:val="00E1738A"/>
    <w:rsid w:val="00E759E7"/>
    <w:rsid w:val="00E86046"/>
    <w:rsid w:val="00EA4F85"/>
    <w:rsid w:val="00EB2C01"/>
    <w:rsid w:val="00EE03B9"/>
    <w:rsid w:val="00EF6D8F"/>
    <w:rsid w:val="00F01E73"/>
    <w:rsid w:val="00F3737C"/>
    <w:rsid w:val="00F373BB"/>
    <w:rsid w:val="00F65EA9"/>
    <w:rsid w:val="00F92AC5"/>
    <w:rsid w:val="00FB7591"/>
    <w:rsid w:val="00FD4171"/>
    <w:rsid w:val="00FE5F14"/>
    <w:rsid w:val="024E4B4B"/>
    <w:rsid w:val="038A600F"/>
    <w:rsid w:val="03AA4003"/>
    <w:rsid w:val="05262BF6"/>
    <w:rsid w:val="053B29DC"/>
    <w:rsid w:val="08963B61"/>
    <w:rsid w:val="09E07ED3"/>
    <w:rsid w:val="09EA6F07"/>
    <w:rsid w:val="0E547702"/>
    <w:rsid w:val="113962D6"/>
    <w:rsid w:val="119D06BE"/>
    <w:rsid w:val="130477B3"/>
    <w:rsid w:val="136A6610"/>
    <w:rsid w:val="141B6B8C"/>
    <w:rsid w:val="15B75D58"/>
    <w:rsid w:val="18094EC6"/>
    <w:rsid w:val="18B7465F"/>
    <w:rsid w:val="1A3B555D"/>
    <w:rsid w:val="1C436CF7"/>
    <w:rsid w:val="1D9531D6"/>
    <w:rsid w:val="1DD7245C"/>
    <w:rsid w:val="211C7F27"/>
    <w:rsid w:val="21EF5B1E"/>
    <w:rsid w:val="21FE5177"/>
    <w:rsid w:val="2329689A"/>
    <w:rsid w:val="236C5BC2"/>
    <w:rsid w:val="247C247D"/>
    <w:rsid w:val="254148C2"/>
    <w:rsid w:val="25C40F49"/>
    <w:rsid w:val="25F3318F"/>
    <w:rsid w:val="26500B8F"/>
    <w:rsid w:val="26BE72FA"/>
    <w:rsid w:val="284B3618"/>
    <w:rsid w:val="2A7331ED"/>
    <w:rsid w:val="2C1401BE"/>
    <w:rsid w:val="2C1D06E6"/>
    <w:rsid w:val="2C883F77"/>
    <w:rsid w:val="2CB03489"/>
    <w:rsid w:val="2D304395"/>
    <w:rsid w:val="2D834DF9"/>
    <w:rsid w:val="2E543AA1"/>
    <w:rsid w:val="2F6E7271"/>
    <w:rsid w:val="306269C5"/>
    <w:rsid w:val="306E7FE2"/>
    <w:rsid w:val="3073433E"/>
    <w:rsid w:val="31E57E30"/>
    <w:rsid w:val="31F42769"/>
    <w:rsid w:val="32500DC3"/>
    <w:rsid w:val="328A09D8"/>
    <w:rsid w:val="32FC0E57"/>
    <w:rsid w:val="33825FA4"/>
    <w:rsid w:val="372F7F47"/>
    <w:rsid w:val="373C384F"/>
    <w:rsid w:val="38685775"/>
    <w:rsid w:val="3991089E"/>
    <w:rsid w:val="3B365BA1"/>
    <w:rsid w:val="3BF05D4F"/>
    <w:rsid w:val="3C554D24"/>
    <w:rsid w:val="3DCE1870"/>
    <w:rsid w:val="3F6237E0"/>
    <w:rsid w:val="3F6530F9"/>
    <w:rsid w:val="40427815"/>
    <w:rsid w:val="418F7DB9"/>
    <w:rsid w:val="420E6F2F"/>
    <w:rsid w:val="427C46A0"/>
    <w:rsid w:val="44CD4E80"/>
    <w:rsid w:val="45B47DEE"/>
    <w:rsid w:val="46BA4FF2"/>
    <w:rsid w:val="473C6C5B"/>
    <w:rsid w:val="485C0CB3"/>
    <w:rsid w:val="495E4B52"/>
    <w:rsid w:val="4A70362A"/>
    <w:rsid w:val="4B723AB7"/>
    <w:rsid w:val="4D8E06D8"/>
    <w:rsid w:val="4DDA23BB"/>
    <w:rsid w:val="4DF41C79"/>
    <w:rsid w:val="4F3A0DBE"/>
    <w:rsid w:val="50035120"/>
    <w:rsid w:val="50360F11"/>
    <w:rsid w:val="50B37341"/>
    <w:rsid w:val="537312E8"/>
    <w:rsid w:val="54074BDF"/>
    <w:rsid w:val="54484523"/>
    <w:rsid w:val="55026027"/>
    <w:rsid w:val="56AB0D99"/>
    <w:rsid w:val="57B267D9"/>
    <w:rsid w:val="58262DCD"/>
    <w:rsid w:val="58CE3F6F"/>
    <w:rsid w:val="594E3ED8"/>
    <w:rsid w:val="5A4A4611"/>
    <w:rsid w:val="5B601658"/>
    <w:rsid w:val="5DB623B7"/>
    <w:rsid w:val="5EDC24BE"/>
    <w:rsid w:val="5FDB26EF"/>
    <w:rsid w:val="600A6F35"/>
    <w:rsid w:val="60CB71F1"/>
    <w:rsid w:val="61130F7B"/>
    <w:rsid w:val="61170F47"/>
    <w:rsid w:val="624A6CA8"/>
    <w:rsid w:val="6300421A"/>
    <w:rsid w:val="6441217E"/>
    <w:rsid w:val="65E9368C"/>
    <w:rsid w:val="65FC20FE"/>
    <w:rsid w:val="6603621D"/>
    <w:rsid w:val="66BE0674"/>
    <w:rsid w:val="67A376E5"/>
    <w:rsid w:val="6A5971DD"/>
    <w:rsid w:val="6A5D008D"/>
    <w:rsid w:val="6AD83AD4"/>
    <w:rsid w:val="6AE44AD1"/>
    <w:rsid w:val="6CDB520D"/>
    <w:rsid w:val="6F7D5BC6"/>
    <w:rsid w:val="71405DDA"/>
    <w:rsid w:val="71655B6B"/>
    <w:rsid w:val="71967E24"/>
    <w:rsid w:val="733028FA"/>
    <w:rsid w:val="736D1458"/>
    <w:rsid w:val="73A56FAB"/>
    <w:rsid w:val="73F75017"/>
    <w:rsid w:val="765B5EE0"/>
    <w:rsid w:val="77903554"/>
    <w:rsid w:val="77905D1A"/>
    <w:rsid w:val="79951709"/>
    <w:rsid w:val="7DED1B13"/>
    <w:rsid w:val="7E126972"/>
    <w:rsid w:val="7E3850DF"/>
    <w:rsid w:val="7EA47CF8"/>
    <w:rsid w:val="7F0E3B08"/>
    <w:rsid w:val="7F4E2A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styleId="8">
    <w:name w:val="List Paragraph"/>
    <w:basedOn w:val="1"/>
    <w:qFormat/>
    <w:uiPriority w:val="34"/>
    <w:pPr>
      <w:ind w:firstLine="420" w:firstLineChars="200"/>
    </w:pPr>
  </w:style>
  <w:style w:type="character" w:customStyle="1" w:styleId="9">
    <w:name w:val="页眉 字符"/>
    <w:basedOn w:val="5"/>
    <w:link w:val="4"/>
    <w:qFormat/>
    <w:uiPriority w:val="99"/>
    <w:rPr>
      <w:sz w:val="18"/>
      <w:szCs w:val="18"/>
    </w:rPr>
  </w:style>
  <w:style w:type="character" w:customStyle="1" w:styleId="10">
    <w:name w:val="页脚 字符"/>
    <w:basedOn w:val="5"/>
    <w:link w:val="3"/>
    <w:qFormat/>
    <w:uiPriority w:val="99"/>
    <w:rPr>
      <w:sz w:val="18"/>
      <w:szCs w:val="18"/>
    </w:rPr>
  </w:style>
  <w:style w:type="character" w:customStyle="1" w:styleId="11">
    <w:name w:val="批注框文本 字符"/>
    <w:basedOn w:val="5"/>
    <w:link w:val="2"/>
    <w:semiHidden/>
    <w:qFormat/>
    <w:uiPriority w:val="99"/>
    <w:rPr>
      <w:sz w:val="18"/>
      <w:szCs w:val="18"/>
    </w:rPr>
  </w:style>
  <w:style w:type="paragraph" w:customStyle="1" w:styleId="12">
    <w:name w:val="Revision"/>
    <w:hidden/>
    <w:semiHidden/>
    <w:qFormat/>
    <w:uiPriority w:val="99"/>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wxd</Company>
  <Pages>6</Pages>
  <Words>2441</Words>
  <Characters>2489</Characters>
  <Lines>10</Lines>
  <Paragraphs>2</Paragraphs>
  <TotalTime>1</TotalTime>
  <ScaleCrop>false</ScaleCrop>
  <LinksUpToDate>false</LinksUpToDate>
  <CharactersWithSpaces>2493</CharactersWithSpaces>
  <Application>WPS Office_10.8.2.6870_F1E327BC-269C-435d-A152-05C5408002CA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2024-05-14T02:50:00Z</dcterms:created>
  <dc:creator>XJS</dc:creator>
  <cp:lastModifiedBy>DELL</cp:lastModifiedBy>
  <cp:lastPrinted>2024-05-21T02:36:00Z</cp:lastPrinted>
  <dcterms:modified xsi:type="dcterms:W3CDTF">2025-04-01T07:00:32Z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2052-10.8.2.6870</vt:lpwstr>
  </property>
  <property fmtid="{D5CDD505-2E9C-101B-9397-08002B2CF9AE}" pid="3" name="KSOTemplateDocerSaveRecord">
    <vt:lpwstr>eyJoZGlkIjoiYzgxMWMzOTk0NDVlYWJjM2I5YTk3YmUyYjFjYzQ1M2IiLCJ1c2VySWQiOiIzMzM5NzExNzYifQ==</vt:lpwstr>
  </property>
  <property fmtid="{D5CDD505-2E9C-101B-9397-08002B2CF9AE}" pid="4" name="ICV">
    <vt:lpwstr>924FE5E478D743FB8C5D1DE3116705F6_12</vt:lpwstr>
  </property>
</Properties>
</file>