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6F9AA">
      <w:pPr>
        <w:pStyle w:val="9"/>
        <w:wordWrap w:val="0"/>
        <w:spacing w:beforeAutospacing="0" w:afterAutospacing="0" w:line="360" w:lineRule="auto"/>
        <w:jc w:val="both"/>
        <w:outlineLvl w:val="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附件</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p>
    <w:p w14:paraId="25F2C474">
      <w:pPr>
        <w:pStyle w:val="9"/>
        <w:wordWrap w:val="0"/>
        <w:spacing w:beforeAutospacing="0" w:afterAutospacing="0" w:line="360" w:lineRule="auto"/>
        <w:jc w:val="center"/>
        <w:outlineLvl w:val="0"/>
        <w:rPr>
          <w:rFonts w:hint="eastAsia" w:ascii="宋体" w:hAnsi="宋体" w:eastAsia="宋体" w:cs="宋体"/>
          <w:b/>
          <w:bCs/>
          <w:sz w:val="36"/>
          <w:szCs w:val="36"/>
          <w:lang w:eastAsia="zh-CN"/>
        </w:rPr>
      </w:pPr>
      <w:bookmarkStart w:id="0" w:name="OLE_LINK2"/>
      <w:bookmarkStart w:id="1" w:name="OLE_LINK1"/>
      <w:r>
        <w:rPr>
          <w:rFonts w:hint="eastAsia" w:ascii="宋体" w:hAnsi="宋体" w:eastAsia="宋体" w:cs="宋体"/>
          <w:b/>
          <w:bCs/>
          <w:sz w:val="36"/>
          <w:szCs w:val="36"/>
          <w:lang w:eastAsia="zh-CN"/>
        </w:rPr>
        <w:t>福建省无线电监测站平潭直属分站</w:t>
      </w:r>
      <w:bookmarkEnd w:id="0"/>
      <w:r>
        <w:rPr>
          <w:rFonts w:hint="eastAsia" w:ascii="宋体" w:hAnsi="宋体" w:eastAsia="宋体" w:cs="宋体"/>
          <w:b/>
          <w:bCs/>
          <w:sz w:val="36"/>
          <w:szCs w:val="36"/>
          <w:lang w:eastAsia="zh-CN"/>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lang w:eastAsia="zh-CN"/>
        </w:rPr>
        <w:t>-202</w:t>
      </w:r>
      <w:r>
        <w:rPr>
          <w:rFonts w:hint="eastAsia" w:ascii="宋体" w:hAnsi="宋体" w:eastAsia="宋体" w:cs="宋体"/>
          <w:b/>
          <w:bCs/>
          <w:sz w:val="36"/>
          <w:szCs w:val="36"/>
          <w:lang w:val="en-US" w:eastAsia="zh-CN"/>
        </w:rPr>
        <w:t>6</w:t>
      </w:r>
      <w:r>
        <w:rPr>
          <w:rFonts w:hint="eastAsia" w:ascii="宋体" w:hAnsi="宋体" w:eastAsia="宋体" w:cs="宋体"/>
          <w:b/>
          <w:bCs/>
          <w:sz w:val="36"/>
          <w:szCs w:val="36"/>
          <w:lang w:eastAsia="zh-CN"/>
        </w:rPr>
        <w:t>年度无线电管理技术设施运行维护服务项目</w:t>
      </w:r>
    </w:p>
    <w:bookmarkEnd w:id="1"/>
    <w:p w14:paraId="0163597B">
      <w:pPr>
        <w:pStyle w:val="9"/>
        <w:wordWrap w:val="0"/>
        <w:spacing w:beforeAutospacing="0" w:afterAutospacing="0" w:line="360" w:lineRule="auto"/>
        <w:jc w:val="center"/>
        <w:outlineLvl w:val="0"/>
        <w:rPr>
          <w:rFonts w:ascii="宋体" w:hAnsi="宋体" w:eastAsia="宋体" w:cs="宋体"/>
          <w:b/>
          <w:bCs/>
          <w:sz w:val="36"/>
          <w:szCs w:val="36"/>
        </w:rPr>
      </w:pPr>
      <w:r>
        <w:rPr>
          <w:rFonts w:hint="eastAsia" w:ascii="宋体" w:hAnsi="宋体" w:eastAsia="宋体" w:cs="宋体"/>
          <w:b/>
          <w:bCs/>
          <w:sz w:val="36"/>
          <w:szCs w:val="36"/>
        </w:rPr>
        <w:t>技术和服务要求</w:t>
      </w:r>
    </w:p>
    <w:p w14:paraId="214F1FF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b/>
          <w:bCs/>
        </w:rPr>
      </w:pPr>
      <w:r>
        <w:rPr>
          <w:b/>
          <w:bCs/>
          <w:spacing w:val="0"/>
          <w:sz w:val="24"/>
          <w:szCs w:val="24"/>
        </w:rPr>
        <w:t>一、项目概况</w:t>
      </w:r>
    </w:p>
    <w:p w14:paraId="4EDABFC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为加强无线电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设施管理，落实运维工作机制，提高无线电</w:t>
      </w:r>
      <w:r>
        <w:rPr>
          <w:rFonts w:hint="eastAsia" w:ascii="宋体" w:hAnsi="宋体" w:eastAsia="宋体" w:cs="宋体"/>
          <w:sz w:val="24"/>
          <w:szCs w:val="24"/>
          <w:lang w:eastAsia="zh-CN"/>
        </w:rPr>
        <w:t>技术</w:t>
      </w:r>
      <w:r>
        <w:rPr>
          <w:rFonts w:hint="eastAsia" w:ascii="宋体" w:hAnsi="宋体" w:eastAsia="宋体" w:cs="宋体"/>
          <w:sz w:val="24"/>
          <w:szCs w:val="24"/>
        </w:rPr>
        <w:t>设施运行维护的规范化水平，保障无线电</w:t>
      </w:r>
      <w:r>
        <w:rPr>
          <w:rFonts w:hint="eastAsia" w:ascii="宋体" w:hAnsi="宋体" w:eastAsia="宋体" w:cs="宋体"/>
          <w:sz w:val="24"/>
          <w:szCs w:val="24"/>
          <w:lang w:eastAsia="zh-CN"/>
        </w:rPr>
        <w:t>管理技术</w:t>
      </w:r>
      <w:r>
        <w:rPr>
          <w:rFonts w:hint="eastAsia" w:ascii="宋体" w:hAnsi="宋体" w:eastAsia="宋体" w:cs="宋体"/>
          <w:sz w:val="24"/>
          <w:szCs w:val="24"/>
        </w:rPr>
        <w:t>设施运行的安全性、可靠性和稳定性，为无线电管理工作的顺利开展提供有力保障。根据福建省无线电管理技术设施运行维护工作规定要求，结合工作实际，现拟将</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"https://zfcg.czt.fujian.gov.cn/freecms/site/fujian/ggxx/info/149695.html" \o "福建省无线电监测站平潭直属分站固定站测向系统维修服务项目政府采购合同" \t "https://zfcg.czt.fujian.gov.cn/freecms/site/fujian/qwjsy/_blank"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福建省无线电监测站平潭直属分站</w:t>
      </w:r>
      <w:r>
        <w:rPr>
          <w:rFonts w:hint="eastAsia" w:ascii="宋体" w:hAnsi="宋体" w:eastAsia="宋体" w:cs="宋体"/>
          <w:sz w:val="24"/>
          <w:szCs w:val="24"/>
          <w:lang w:eastAsia="zh-CN"/>
        </w:rPr>
        <w:t>在用的无线电固定监测站、移动监测站、便携式监测设备和无线电控制中心等进行服务外包，</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由</w:t>
      </w:r>
      <w:r>
        <w:rPr>
          <w:rFonts w:hint="eastAsia" w:ascii="宋体" w:hAnsi="宋体" w:eastAsia="宋体" w:cs="宋体"/>
          <w:sz w:val="24"/>
          <w:szCs w:val="24"/>
          <w:lang w:eastAsia="zh-CN"/>
        </w:rPr>
        <w:t>成交人</w:t>
      </w:r>
      <w:r>
        <w:rPr>
          <w:rFonts w:hint="eastAsia" w:ascii="宋体" w:hAnsi="宋体" w:eastAsia="宋体" w:cs="宋体"/>
          <w:sz w:val="24"/>
          <w:szCs w:val="24"/>
        </w:rPr>
        <w:t>提供专业、规范、高效的运维服务，落实运维措施，对无线电监测设施进行</w:t>
      </w:r>
      <w:r>
        <w:rPr>
          <w:spacing w:val="2"/>
        </w:rPr>
        <w:t>日常检查、定期巡检、故障处理、</w:t>
      </w:r>
      <w:r>
        <w:rPr>
          <w:rFonts w:hint="eastAsia"/>
          <w:spacing w:val="2"/>
          <w:lang w:eastAsia="zh-CN"/>
        </w:rPr>
        <w:t>设备</w:t>
      </w:r>
      <w:r>
        <w:rPr>
          <w:spacing w:val="2"/>
        </w:rPr>
        <w:t>维修</w:t>
      </w:r>
      <w:r>
        <w:rPr>
          <w:rFonts w:hint="eastAsia"/>
          <w:spacing w:val="2"/>
          <w:lang w:eastAsia="zh-CN"/>
        </w:rPr>
        <w:t>、应急及重大活动保障和技术用房专项维护等</w:t>
      </w:r>
      <w:r>
        <w:rPr>
          <w:rFonts w:hint="eastAsia" w:ascii="宋体" w:hAnsi="宋体" w:eastAsia="宋体" w:cs="宋体"/>
          <w:sz w:val="24"/>
          <w:szCs w:val="24"/>
        </w:rPr>
        <w:t>，实现对在用无线电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设施的有效管理和高质量维护。</w:t>
      </w:r>
    </w:p>
    <w:p w14:paraId="04C4802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rFonts w:cs="Times New Roman"/>
          <w:b/>
          <w:bCs/>
          <w:spacing w:val="0"/>
          <w:sz w:val="24"/>
          <w:szCs w:val="24"/>
        </w:rPr>
      </w:pPr>
      <w:r>
        <w:rPr>
          <w:rFonts w:hint="eastAsia" w:cs="Times New Roman"/>
          <w:b/>
          <w:bCs/>
          <w:spacing w:val="0"/>
          <w:sz w:val="24"/>
          <w:szCs w:val="24"/>
        </w:rPr>
        <w:t>二、技术和服务要求</w:t>
      </w:r>
    </w:p>
    <w:p w14:paraId="75B4ED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lang w:eastAsia="zh-CN"/>
        </w:rPr>
        <w:t>（一）</w:t>
      </w:r>
      <w:r>
        <w:rPr>
          <w:rStyle w:val="13"/>
          <w:rFonts w:hint="eastAsia" w:ascii="宋体" w:hAnsi="宋体" w:eastAsia="宋体" w:cs="宋体"/>
        </w:rPr>
        <w:t>总体要求</w:t>
      </w:r>
    </w:p>
    <w:p w14:paraId="1E9840A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本项目运维服务期（1年）内</w:t>
      </w:r>
      <w:r>
        <w:rPr>
          <w:rFonts w:hint="eastAsia" w:ascii="宋体" w:hAnsi="宋体" w:eastAsia="宋体" w:cs="宋体"/>
          <w:sz w:val="24"/>
          <w:szCs w:val="24"/>
          <w:lang w:eastAsia="zh-CN"/>
        </w:rPr>
        <w:t>成交人</w:t>
      </w:r>
      <w:r>
        <w:rPr>
          <w:rFonts w:hint="eastAsia" w:ascii="宋体" w:hAnsi="宋体" w:eastAsia="宋体" w:cs="宋体"/>
          <w:sz w:val="24"/>
          <w:szCs w:val="24"/>
        </w:rPr>
        <w:t>应负责无线电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设施的日常</w:t>
      </w:r>
      <w:r>
        <w:rPr>
          <w:rFonts w:hint="eastAsia" w:ascii="宋体" w:hAnsi="宋体" w:eastAsia="宋体" w:cs="宋体"/>
          <w:sz w:val="24"/>
          <w:szCs w:val="24"/>
          <w:lang w:eastAsia="zh-CN"/>
        </w:rPr>
        <w:t>检查</w:t>
      </w:r>
      <w:r>
        <w:rPr>
          <w:rFonts w:hint="eastAsia" w:ascii="宋体" w:hAnsi="宋体" w:eastAsia="宋体" w:cs="宋体"/>
          <w:sz w:val="24"/>
          <w:szCs w:val="24"/>
        </w:rPr>
        <w:t>、定期巡检</w:t>
      </w:r>
      <w:r>
        <w:rPr>
          <w:rFonts w:hint="eastAsia" w:ascii="宋体" w:hAnsi="宋体" w:eastAsia="宋体" w:cs="宋体"/>
          <w:sz w:val="24"/>
          <w:szCs w:val="24"/>
          <w:lang w:eastAsia="zh-CN"/>
        </w:rPr>
        <w:t>、</w:t>
      </w:r>
      <w:r>
        <w:rPr>
          <w:rFonts w:hint="eastAsia" w:ascii="宋体" w:hAnsi="宋体" w:eastAsia="宋体" w:cs="宋体"/>
          <w:sz w:val="24"/>
          <w:szCs w:val="24"/>
        </w:rPr>
        <w:t>维修</w:t>
      </w:r>
      <w:r>
        <w:rPr>
          <w:rFonts w:hint="eastAsia" w:ascii="宋体" w:hAnsi="宋体" w:eastAsia="宋体" w:cs="宋体"/>
          <w:sz w:val="24"/>
          <w:szCs w:val="24"/>
          <w:lang w:eastAsia="zh-CN"/>
        </w:rPr>
        <w:t>和应急处置等</w:t>
      </w:r>
      <w:r>
        <w:rPr>
          <w:rFonts w:hint="eastAsia" w:ascii="宋体" w:hAnsi="宋体" w:eastAsia="宋体" w:cs="宋体"/>
          <w:sz w:val="24"/>
          <w:szCs w:val="24"/>
        </w:rPr>
        <w:t>工作，保障现有设备、设施的正常运转，并达到如下要求：</w:t>
      </w:r>
    </w:p>
    <w:p w14:paraId="1E77F0D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1.对无线电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进行测试和检查，确保功能运行正常；</w:t>
      </w:r>
    </w:p>
    <w:p w14:paraId="6688DE6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2.为日常无线电监测和重大无线电安全保障提供有力的技术支持；</w:t>
      </w:r>
    </w:p>
    <w:p w14:paraId="5BC537B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3.对无线电固定监测站的铁塔（抱杆）做好日常维护保养；</w:t>
      </w:r>
    </w:p>
    <w:p w14:paraId="2F4AA4C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4.提供可靠的设备维修（送修）保障服务；</w:t>
      </w:r>
    </w:p>
    <w:p w14:paraId="3582122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5.建立包含设施运行状况、技术指标、巡检记录、维护维修情况等运维档案；</w:t>
      </w:r>
    </w:p>
    <w:p w14:paraId="3FF69DA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6.做好有关工作记录和报</w:t>
      </w:r>
      <w:r>
        <w:rPr>
          <w:rFonts w:hint="eastAsia" w:ascii="宋体" w:hAnsi="宋体" w:eastAsia="宋体" w:cs="宋体"/>
          <w:sz w:val="24"/>
          <w:szCs w:val="24"/>
          <w:lang w:eastAsia="zh-CN"/>
        </w:rPr>
        <w:t>告</w:t>
      </w:r>
      <w:r>
        <w:rPr>
          <w:rFonts w:hint="eastAsia" w:ascii="宋体" w:hAnsi="宋体" w:eastAsia="宋体" w:cs="宋体"/>
          <w:sz w:val="24"/>
          <w:szCs w:val="24"/>
        </w:rPr>
        <w:t>编制、文案管理，妥善处理应急突发事件，确保无线电</w:t>
      </w:r>
      <w:r>
        <w:rPr>
          <w:rFonts w:hint="eastAsia" w:ascii="宋体" w:hAnsi="宋体" w:eastAsia="宋体" w:cs="宋体"/>
          <w:sz w:val="24"/>
          <w:szCs w:val="24"/>
          <w:lang w:eastAsia="zh-CN"/>
        </w:rPr>
        <w:t>技术设施</w:t>
      </w:r>
      <w:r>
        <w:rPr>
          <w:rFonts w:hint="eastAsia" w:ascii="宋体" w:hAnsi="宋体" w:eastAsia="宋体" w:cs="宋体"/>
          <w:sz w:val="24"/>
          <w:szCs w:val="24"/>
        </w:rPr>
        <w:t>工作正常，运行稳定。</w:t>
      </w:r>
    </w:p>
    <w:p w14:paraId="467ED6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lang w:eastAsia="zh-CN"/>
        </w:rPr>
        <w:t>（二）</w:t>
      </w:r>
      <w:r>
        <w:rPr>
          <w:rStyle w:val="13"/>
          <w:rFonts w:hint="eastAsia" w:ascii="宋体" w:hAnsi="宋体" w:eastAsia="宋体" w:cs="宋体"/>
        </w:rPr>
        <w:t>运维规范</w:t>
      </w:r>
    </w:p>
    <w:p w14:paraId="6EBF04CE">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1.《福建省无线电管理技术设施运行维护工作指南（试行）》</w:t>
      </w:r>
    </w:p>
    <w:p w14:paraId="6C1C4ED4">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2.GB/T 34082-2017《无线电监测网传输协议》</w:t>
      </w:r>
    </w:p>
    <w:p w14:paraId="1C6A13F9">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3.YD/T2675-2013《VHF/UHF无线电监测测向系统开场测试参数和测试方法》</w:t>
      </w:r>
    </w:p>
    <w:p w14:paraId="1B609619">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4.GB/T32401-2015《VHF/UHF频段无线电监测接收机技术要求及测试方法》</w:t>
      </w:r>
    </w:p>
    <w:p w14:paraId="4D7DD373">
      <w:pPr>
        <w:pStyle w:val="9"/>
        <w:wordWrap w:val="0"/>
        <w:spacing w:beforeAutospacing="0" w:afterAutospacing="0" w:line="360" w:lineRule="auto"/>
        <w:ind w:firstLine="480"/>
        <w:rPr>
          <w:rFonts w:ascii="宋体" w:hAnsi="宋体" w:cs="宋体"/>
          <w:highlight w:val="none"/>
        </w:rPr>
      </w:pPr>
      <w:r>
        <w:rPr>
          <w:rFonts w:hint="eastAsia" w:ascii="宋体" w:hAnsi="宋体" w:cs="宋体"/>
          <w:color w:val="000000"/>
          <w:highlight w:val="none"/>
        </w:rPr>
        <w:t>5.（GB/T 34089-2017）《VHF/UHF无线电监测测向系统开场测试参数和测试方法》</w:t>
      </w:r>
    </w:p>
    <w:p w14:paraId="5FEF6810">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.《VHF/UHF无线电监测设施建设规范和技术要求(试行)》</w:t>
      </w:r>
    </w:p>
    <w:p w14:paraId="3DAE14AE">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.YD/T 3811《3GHz</w:t>
      </w:r>
      <w:r>
        <w:rPr>
          <w:rFonts w:hint="eastAsia" w:ascii="宋体" w:hAnsi="宋体" w:cs="宋体"/>
          <w:highlight w:val="none"/>
          <w:lang w:val="en-US" w:eastAsia="zh-CN"/>
        </w:rPr>
        <w:t>-</w:t>
      </w:r>
      <w:r>
        <w:rPr>
          <w:rFonts w:hint="eastAsia" w:ascii="宋体" w:hAnsi="宋体" w:cs="宋体"/>
          <w:highlight w:val="none"/>
        </w:rPr>
        <w:t>12.75GHz频段无线电监测测向系统测试方法及技术要求》</w:t>
      </w:r>
    </w:p>
    <w:p w14:paraId="7142E627">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8</w:t>
      </w:r>
      <w:r>
        <w:rPr>
          <w:rFonts w:hint="eastAsia" w:ascii="宋体" w:hAnsi="宋体" w:cs="宋体"/>
          <w:highlight w:val="none"/>
        </w:rPr>
        <w:t>.有关行业标准和规范(最新)</w:t>
      </w:r>
    </w:p>
    <w:p w14:paraId="198A45C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lang w:eastAsia="zh-CN"/>
        </w:rPr>
        <w:t>（三）</w:t>
      </w:r>
      <w:r>
        <w:rPr>
          <w:rStyle w:val="13"/>
          <w:rFonts w:hint="eastAsia" w:ascii="宋体" w:hAnsi="宋体" w:eastAsia="宋体" w:cs="宋体"/>
        </w:rPr>
        <w:t>运维服务范围</w:t>
      </w:r>
    </w:p>
    <w:p w14:paraId="00E1FC7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福建省无线电监测站平潭直属分站</w:t>
      </w:r>
      <w:r>
        <w:rPr>
          <w:rFonts w:hint="eastAsia" w:ascii="宋体" w:hAnsi="宋体" w:eastAsia="宋体" w:cs="宋体"/>
          <w:sz w:val="24"/>
          <w:szCs w:val="24"/>
          <w:lang w:eastAsia="zh-CN"/>
        </w:rPr>
        <w:t>在用的无线电技术设施所包含的固定监测站、移动监测站、便携式监测设备、无线电控制中心以及其他全部辅助设施及系统（包括但不限于</w:t>
      </w:r>
      <w:r>
        <w:rPr>
          <w:rFonts w:hint="eastAsia" w:ascii="宋体" w:hAnsi="宋体" w:eastAsia="宋体" w:cs="宋体"/>
          <w:sz w:val="24"/>
          <w:szCs w:val="24"/>
        </w:rPr>
        <w:t>通信、供电、消防、环境、建筑构筑物、铁塔</w:t>
      </w:r>
      <w:r>
        <w:rPr>
          <w:rFonts w:hint="eastAsia" w:ascii="宋体" w:hAnsi="宋体" w:eastAsia="宋体" w:cs="宋体"/>
          <w:sz w:val="24"/>
          <w:szCs w:val="24"/>
          <w:lang w:eastAsia="zh-CN"/>
        </w:rPr>
        <w:t>或抱杆</w:t>
      </w:r>
      <w:r>
        <w:rPr>
          <w:rFonts w:hint="eastAsia" w:ascii="宋体" w:hAnsi="宋体" w:eastAsia="宋体" w:cs="宋体"/>
          <w:sz w:val="24"/>
          <w:szCs w:val="24"/>
        </w:rPr>
        <w:t>等</w:t>
      </w:r>
      <w:r>
        <w:rPr>
          <w:rFonts w:hint="eastAsia" w:ascii="宋体" w:hAnsi="宋体" w:eastAsia="宋体" w:cs="宋体"/>
          <w:sz w:val="24"/>
          <w:szCs w:val="24"/>
          <w:lang w:eastAsia="zh-CN"/>
        </w:rPr>
        <w:t>）。</w:t>
      </w:r>
      <w:r>
        <w:rPr>
          <w:rFonts w:hint="eastAsia" w:ascii="宋体" w:hAnsi="宋体" w:eastAsia="宋体" w:cs="宋体"/>
          <w:sz w:val="24"/>
          <w:szCs w:val="24"/>
        </w:rPr>
        <w:t>以首次现场勘察巡检点验确认的设施设备及系统为准，主要无线电</w:t>
      </w:r>
      <w:r>
        <w:rPr>
          <w:rFonts w:hint="eastAsia" w:ascii="宋体" w:hAnsi="宋体" w:eastAsia="宋体" w:cs="宋体"/>
          <w:sz w:val="24"/>
          <w:szCs w:val="24"/>
          <w:lang w:eastAsia="zh-CN"/>
        </w:rPr>
        <w:t>技术</w:t>
      </w:r>
      <w:r>
        <w:rPr>
          <w:rFonts w:hint="eastAsia" w:ascii="宋体" w:hAnsi="宋体" w:eastAsia="宋体" w:cs="宋体"/>
          <w:sz w:val="24"/>
          <w:szCs w:val="24"/>
        </w:rPr>
        <w:t>设施清单如下：</w:t>
      </w:r>
    </w:p>
    <w:p w14:paraId="19C4331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pPr>
      <w:r>
        <w:rPr>
          <w:rStyle w:val="13"/>
          <w:rFonts w:hint="eastAsia" w:ascii="宋体" w:hAnsi="宋体" w:eastAsia="宋体" w:cs="宋体"/>
        </w:rPr>
        <w:t>1.无线电固定监测站</w:t>
      </w:r>
    </w:p>
    <w:tbl>
      <w:tblPr>
        <w:tblStyle w:val="10"/>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43"/>
        <w:gridCol w:w="2557"/>
        <w:gridCol w:w="2323"/>
        <w:gridCol w:w="1370"/>
        <w:gridCol w:w="1338"/>
      </w:tblGrid>
      <w:tr w14:paraId="0C72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tcBorders>
              <w:tl2br w:val="nil"/>
              <w:tr2bl w:val="nil"/>
            </w:tcBorders>
            <w:shd w:val="clear" w:color="auto" w:fill="FFFFFF"/>
            <w:vAlign w:val="center"/>
          </w:tcPr>
          <w:p w14:paraId="3A3BE95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序号</w:t>
            </w:r>
          </w:p>
        </w:tc>
        <w:tc>
          <w:tcPr>
            <w:tcW w:w="1516" w:type="pct"/>
            <w:tcBorders>
              <w:tl2br w:val="nil"/>
              <w:tr2bl w:val="nil"/>
            </w:tcBorders>
            <w:shd w:val="clear" w:color="auto" w:fill="FFFFFF"/>
            <w:vAlign w:val="center"/>
          </w:tcPr>
          <w:p w14:paraId="63901FE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站点名称</w:t>
            </w:r>
          </w:p>
        </w:tc>
        <w:tc>
          <w:tcPr>
            <w:tcW w:w="1377" w:type="pct"/>
            <w:tcBorders>
              <w:tl2br w:val="nil"/>
              <w:tr2bl w:val="nil"/>
            </w:tcBorders>
            <w:shd w:val="clear" w:color="auto" w:fill="FFFFFF"/>
            <w:vAlign w:val="center"/>
          </w:tcPr>
          <w:p w14:paraId="10A8B1F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监测主设备</w:t>
            </w:r>
          </w:p>
        </w:tc>
        <w:tc>
          <w:tcPr>
            <w:tcW w:w="812" w:type="pct"/>
            <w:tcBorders>
              <w:tl2br w:val="nil"/>
              <w:tr2bl w:val="nil"/>
            </w:tcBorders>
            <w:shd w:val="clear" w:color="auto" w:fill="FFFFFF"/>
            <w:vAlign w:val="center"/>
          </w:tcPr>
          <w:p w14:paraId="21A696E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厂家</w:t>
            </w:r>
          </w:p>
        </w:tc>
        <w:tc>
          <w:tcPr>
            <w:tcW w:w="793" w:type="pct"/>
            <w:tcBorders>
              <w:tl2br w:val="nil"/>
              <w:tr2bl w:val="nil"/>
            </w:tcBorders>
            <w:shd w:val="clear" w:color="auto" w:fill="FFFFFF"/>
            <w:vAlign w:val="center"/>
          </w:tcPr>
          <w:p w14:paraId="4969298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数量</w:t>
            </w:r>
          </w:p>
        </w:tc>
      </w:tr>
      <w:tr w14:paraId="1DEB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1658C29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6" w:type="pct"/>
            <w:vMerge w:val="restart"/>
            <w:tcBorders>
              <w:tl2br w:val="nil"/>
              <w:tr2bl w:val="nil"/>
            </w:tcBorders>
            <w:shd w:val="clear" w:color="auto" w:fill="FFFFFF"/>
            <w:vAlign w:val="center"/>
          </w:tcPr>
          <w:p w14:paraId="565B62C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lang w:eastAsia="zh-CN"/>
              </w:rPr>
              <w:t>平潭猴仔山固定</w:t>
            </w:r>
            <w:r>
              <w:rPr>
                <w:rFonts w:hint="eastAsia" w:ascii="宋体" w:hAnsi="宋体" w:eastAsia="宋体" w:cs="宋体"/>
                <w:sz w:val="24"/>
                <w:szCs w:val="24"/>
                <w:highlight w:val="none"/>
              </w:rPr>
              <w:t>站</w:t>
            </w:r>
          </w:p>
        </w:tc>
        <w:tc>
          <w:tcPr>
            <w:tcW w:w="1377" w:type="pct"/>
            <w:tcBorders>
              <w:tl2br w:val="nil"/>
              <w:tr2bl w:val="nil"/>
            </w:tcBorders>
            <w:shd w:val="clear" w:color="auto" w:fill="FFFFFF"/>
            <w:vAlign w:val="center"/>
          </w:tcPr>
          <w:p w14:paraId="70F1FA5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ascii="宋体" w:hAnsi="宋体" w:eastAsia="宋体" w:cs="宋体"/>
                <w:sz w:val="24"/>
                <w:szCs w:val="24"/>
                <w:highlight w:val="none"/>
              </w:rPr>
              <w:t>监测接收机ESM</w:t>
            </w:r>
            <w:r>
              <w:rPr>
                <w:rFonts w:hint="eastAsia" w:ascii="宋体" w:hAnsi="宋体" w:eastAsia="宋体" w:cs="宋体"/>
                <w:sz w:val="24"/>
                <w:szCs w:val="24"/>
                <w:highlight w:val="none"/>
                <w:lang w:val="en-US" w:eastAsia="zh-CN"/>
              </w:rPr>
              <w:t>D</w:t>
            </w:r>
          </w:p>
        </w:tc>
        <w:tc>
          <w:tcPr>
            <w:tcW w:w="812" w:type="pct"/>
            <w:tcBorders>
              <w:tl2br w:val="nil"/>
              <w:tr2bl w:val="nil"/>
            </w:tcBorders>
            <w:shd w:val="clear" w:color="auto" w:fill="FFFFFF"/>
            <w:vAlign w:val="center"/>
          </w:tcPr>
          <w:p w14:paraId="0E4353F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93" w:type="pct"/>
            <w:tcBorders>
              <w:tl2br w:val="nil"/>
              <w:tr2bl w:val="nil"/>
            </w:tcBorders>
            <w:shd w:val="clear" w:color="auto" w:fill="FFFFFF"/>
            <w:vAlign w:val="center"/>
          </w:tcPr>
          <w:p w14:paraId="11FCC9A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1台</w:t>
            </w:r>
          </w:p>
        </w:tc>
      </w:tr>
      <w:tr w14:paraId="0E0B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CBD633D">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14:paraId="69483C93">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14:paraId="309ED9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ascii="宋体" w:hAnsi="宋体" w:eastAsia="宋体" w:cs="宋体"/>
                <w:sz w:val="24"/>
                <w:szCs w:val="24"/>
                <w:highlight w:val="none"/>
              </w:rPr>
              <w:t>测向接收机DDF</w:t>
            </w:r>
            <w:r>
              <w:rPr>
                <w:rFonts w:hint="eastAsia" w:ascii="宋体" w:hAnsi="宋体" w:eastAsia="宋体" w:cs="宋体"/>
                <w:sz w:val="24"/>
                <w:szCs w:val="24"/>
                <w:highlight w:val="none"/>
                <w:lang w:val="en-US" w:eastAsia="zh-CN"/>
              </w:rPr>
              <w:t>05E</w:t>
            </w:r>
          </w:p>
        </w:tc>
        <w:tc>
          <w:tcPr>
            <w:tcW w:w="812" w:type="pct"/>
            <w:tcBorders>
              <w:tl2br w:val="nil"/>
              <w:tr2bl w:val="nil"/>
            </w:tcBorders>
            <w:shd w:val="clear" w:color="auto" w:fill="FFFFFF"/>
            <w:vAlign w:val="center"/>
          </w:tcPr>
          <w:p w14:paraId="1F8CDBC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93" w:type="pct"/>
            <w:tcBorders>
              <w:tl2br w:val="nil"/>
              <w:tr2bl w:val="nil"/>
            </w:tcBorders>
            <w:shd w:val="clear" w:color="auto" w:fill="FFFFFF"/>
            <w:vAlign w:val="center"/>
          </w:tcPr>
          <w:p w14:paraId="4BD86B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1台</w:t>
            </w:r>
          </w:p>
        </w:tc>
      </w:tr>
      <w:tr w14:paraId="164E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9DC2AFF">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14:paraId="05F1608B">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14:paraId="412ED3D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配套技术用房</w:t>
            </w:r>
          </w:p>
        </w:tc>
        <w:tc>
          <w:tcPr>
            <w:tcW w:w="812" w:type="pct"/>
            <w:tcBorders>
              <w:tl2br w:val="nil"/>
              <w:tr2bl w:val="nil"/>
            </w:tcBorders>
            <w:shd w:val="clear" w:color="auto" w:fill="FFFFFF"/>
            <w:vAlign w:val="center"/>
          </w:tcPr>
          <w:p w14:paraId="183246A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tc>
        <w:tc>
          <w:tcPr>
            <w:tcW w:w="793" w:type="pct"/>
            <w:tcBorders>
              <w:tl2br w:val="nil"/>
              <w:tr2bl w:val="nil"/>
            </w:tcBorders>
            <w:shd w:val="clear" w:color="auto" w:fill="FFFFFF"/>
            <w:vAlign w:val="center"/>
          </w:tcPr>
          <w:p w14:paraId="4527966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1栋</w:t>
            </w:r>
          </w:p>
        </w:tc>
      </w:tr>
      <w:tr w14:paraId="502D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67E9C911">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sz w:val="24"/>
                <w:szCs w:val="24"/>
                <w:highlight w:val="none"/>
                <w:lang w:val="en-US" w:eastAsia="zh-CN"/>
              </w:rPr>
            </w:pPr>
            <w:r>
              <w:rPr>
                <w:rFonts w:hint="eastAsia" w:ascii="宋体"/>
                <w:sz w:val="24"/>
                <w:szCs w:val="24"/>
                <w:highlight w:val="none"/>
                <w:lang w:val="en-US" w:eastAsia="zh-CN"/>
              </w:rPr>
              <w:t>2</w:t>
            </w:r>
          </w:p>
        </w:tc>
        <w:tc>
          <w:tcPr>
            <w:tcW w:w="1516" w:type="pct"/>
            <w:vMerge w:val="restart"/>
            <w:tcBorders>
              <w:tl2br w:val="nil"/>
              <w:tr2bl w:val="nil"/>
            </w:tcBorders>
            <w:shd w:val="clear" w:color="auto" w:fill="FFFFFF"/>
            <w:vAlign w:val="center"/>
          </w:tcPr>
          <w:p w14:paraId="3FD02528">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sz w:val="24"/>
                <w:szCs w:val="24"/>
                <w:highlight w:val="none"/>
                <w:lang w:eastAsia="zh-CN"/>
              </w:rPr>
            </w:pPr>
            <w:r>
              <w:rPr>
                <w:rFonts w:hint="eastAsia" w:ascii="宋体"/>
                <w:sz w:val="24"/>
                <w:szCs w:val="24"/>
                <w:highlight w:val="none"/>
                <w:lang w:eastAsia="zh-CN"/>
              </w:rPr>
              <w:t>平潭固定站</w:t>
            </w:r>
          </w:p>
        </w:tc>
        <w:tc>
          <w:tcPr>
            <w:tcW w:w="1377" w:type="pct"/>
            <w:tcBorders>
              <w:tl2br w:val="nil"/>
              <w:tr2bl w:val="nil"/>
            </w:tcBorders>
            <w:shd w:val="clear" w:color="auto" w:fill="FFFFFF"/>
            <w:vAlign w:val="center"/>
          </w:tcPr>
          <w:p w14:paraId="44B8AA3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MR0318</w:t>
            </w:r>
          </w:p>
        </w:tc>
        <w:tc>
          <w:tcPr>
            <w:tcW w:w="812" w:type="pct"/>
            <w:tcBorders>
              <w:tl2br w:val="nil"/>
              <w:tr2bl w:val="nil"/>
            </w:tcBorders>
            <w:shd w:val="clear" w:color="auto" w:fill="FFFFFF"/>
            <w:vAlign w:val="center"/>
          </w:tcPr>
          <w:p w14:paraId="434E66C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深圳远瀚</w:t>
            </w:r>
          </w:p>
        </w:tc>
        <w:tc>
          <w:tcPr>
            <w:tcW w:w="793" w:type="pct"/>
            <w:tcBorders>
              <w:tl2br w:val="nil"/>
              <w:tr2bl w:val="nil"/>
            </w:tcBorders>
            <w:shd w:val="clear" w:color="auto" w:fill="FFFFFF"/>
            <w:vAlign w:val="center"/>
          </w:tcPr>
          <w:p w14:paraId="6752ACD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2套</w:t>
            </w:r>
          </w:p>
        </w:tc>
      </w:tr>
      <w:tr w14:paraId="6239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04BFE492">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14:paraId="36035C16">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14:paraId="0F3B15A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测向接收机</w:t>
            </w:r>
            <w:r>
              <w:rPr>
                <w:rFonts w:hint="eastAsia" w:ascii="宋体" w:hAnsi="宋体" w:eastAsia="宋体" w:cs="宋体"/>
                <w:sz w:val="24"/>
                <w:szCs w:val="24"/>
                <w:highlight w:val="none"/>
                <w:lang w:val="en-US" w:eastAsia="zh-CN"/>
              </w:rPr>
              <w:t>MDFS900</w:t>
            </w:r>
          </w:p>
        </w:tc>
        <w:tc>
          <w:tcPr>
            <w:tcW w:w="812" w:type="pct"/>
            <w:tcBorders>
              <w:tl2br w:val="nil"/>
              <w:tr2bl w:val="nil"/>
            </w:tcBorders>
            <w:shd w:val="clear" w:color="auto" w:fill="FFFFFF"/>
            <w:vAlign w:val="center"/>
          </w:tcPr>
          <w:p w14:paraId="2FF93E7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深圳远瀚</w:t>
            </w:r>
          </w:p>
        </w:tc>
        <w:tc>
          <w:tcPr>
            <w:tcW w:w="793" w:type="pct"/>
            <w:tcBorders>
              <w:tl2br w:val="nil"/>
              <w:tr2bl w:val="nil"/>
            </w:tcBorders>
            <w:shd w:val="clear" w:color="auto" w:fill="FFFFFF"/>
            <w:vAlign w:val="center"/>
          </w:tcPr>
          <w:p w14:paraId="31791D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r>
      <w:tr w14:paraId="6BB9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5027060C">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sz w:val="24"/>
                <w:szCs w:val="24"/>
                <w:highlight w:val="none"/>
                <w:lang w:val="en-US" w:eastAsia="zh-CN"/>
              </w:rPr>
            </w:pPr>
            <w:r>
              <w:rPr>
                <w:rFonts w:hint="eastAsia" w:ascii="宋体"/>
                <w:sz w:val="24"/>
                <w:szCs w:val="24"/>
                <w:highlight w:val="none"/>
                <w:lang w:val="en-US" w:eastAsia="zh-CN"/>
              </w:rPr>
              <w:t>3</w:t>
            </w:r>
          </w:p>
        </w:tc>
        <w:tc>
          <w:tcPr>
            <w:tcW w:w="1516" w:type="pct"/>
            <w:vMerge w:val="restart"/>
            <w:tcBorders>
              <w:tl2br w:val="nil"/>
              <w:tr2bl w:val="nil"/>
            </w:tcBorders>
            <w:shd w:val="clear" w:color="auto" w:fill="FFFFFF"/>
            <w:vAlign w:val="center"/>
          </w:tcPr>
          <w:p w14:paraId="1FC9B6BC">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sz w:val="24"/>
                <w:szCs w:val="24"/>
                <w:highlight w:val="none"/>
                <w:lang w:eastAsia="zh-CN"/>
              </w:rPr>
            </w:pPr>
            <w:r>
              <w:rPr>
                <w:rFonts w:hint="eastAsia" w:ascii="宋体"/>
                <w:sz w:val="24"/>
                <w:szCs w:val="24"/>
                <w:highlight w:val="none"/>
                <w:lang w:eastAsia="zh-CN"/>
              </w:rPr>
              <w:t>东山固定站</w:t>
            </w:r>
          </w:p>
        </w:tc>
        <w:tc>
          <w:tcPr>
            <w:tcW w:w="1377" w:type="pct"/>
            <w:tcBorders>
              <w:tl2br w:val="nil"/>
              <w:tr2bl w:val="nil"/>
            </w:tcBorders>
            <w:shd w:val="clear" w:color="auto" w:fill="FFFFFF"/>
            <w:vAlign w:val="center"/>
          </w:tcPr>
          <w:p w14:paraId="520711B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MR0318</w:t>
            </w:r>
          </w:p>
        </w:tc>
        <w:tc>
          <w:tcPr>
            <w:tcW w:w="812" w:type="pct"/>
            <w:tcBorders>
              <w:tl2br w:val="nil"/>
              <w:tr2bl w:val="nil"/>
            </w:tcBorders>
            <w:shd w:val="clear" w:color="auto" w:fill="FFFFFF"/>
            <w:vAlign w:val="center"/>
          </w:tcPr>
          <w:p w14:paraId="6FE368F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深圳远瀚</w:t>
            </w:r>
          </w:p>
        </w:tc>
        <w:tc>
          <w:tcPr>
            <w:tcW w:w="793" w:type="pct"/>
            <w:tcBorders>
              <w:tl2br w:val="nil"/>
              <w:tr2bl w:val="nil"/>
            </w:tcBorders>
            <w:shd w:val="clear" w:color="auto" w:fill="FFFFFF"/>
            <w:vAlign w:val="center"/>
          </w:tcPr>
          <w:p w14:paraId="4A767F0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2套</w:t>
            </w:r>
          </w:p>
        </w:tc>
      </w:tr>
      <w:tr w14:paraId="7B2F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A93411E">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14:paraId="0592DDB4">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14:paraId="14546A9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测向接收机</w:t>
            </w:r>
            <w:r>
              <w:rPr>
                <w:rFonts w:hint="eastAsia" w:ascii="宋体" w:hAnsi="宋体" w:eastAsia="宋体" w:cs="宋体"/>
                <w:sz w:val="24"/>
                <w:szCs w:val="24"/>
                <w:highlight w:val="none"/>
                <w:lang w:val="en-US" w:eastAsia="zh-CN"/>
              </w:rPr>
              <w:t>MDFS900</w:t>
            </w:r>
          </w:p>
        </w:tc>
        <w:tc>
          <w:tcPr>
            <w:tcW w:w="812" w:type="pct"/>
            <w:tcBorders>
              <w:tl2br w:val="nil"/>
              <w:tr2bl w:val="nil"/>
            </w:tcBorders>
            <w:shd w:val="clear" w:color="auto" w:fill="FFFFFF"/>
            <w:vAlign w:val="center"/>
          </w:tcPr>
          <w:p w14:paraId="210968D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深圳远瀚</w:t>
            </w:r>
          </w:p>
        </w:tc>
        <w:tc>
          <w:tcPr>
            <w:tcW w:w="793" w:type="pct"/>
            <w:tcBorders>
              <w:tl2br w:val="nil"/>
              <w:tr2bl w:val="nil"/>
            </w:tcBorders>
            <w:shd w:val="clear" w:color="auto" w:fill="FFFFFF"/>
            <w:vAlign w:val="center"/>
          </w:tcPr>
          <w:p w14:paraId="7F6ADAC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1套</w:t>
            </w:r>
          </w:p>
        </w:tc>
      </w:tr>
      <w:tr w14:paraId="2D95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4BBCBA21">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sz w:val="24"/>
                <w:szCs w:val="24"/>
                <w:highlight w:val="none"/>
                <w:lang w:val="en-US" w:eastAsia="zh-CN"/>
              </w:rPr>
            </w:pPr>
            <w:r>
              <w:rPr>
                <w:rFonts w:hint="eastAsia" w:ascii="宋体"/>
                <w:sz w:val="24"/>
                <w:szCs w:val="24"/>
                <w:highlight w:val="none"/>
                <w:lang w:val="en-US" w:eastAsia="zh-CN"/>
              </w:rPr>
              <w:t>4</w:t>
            </w:r>
          </w:p>
        </w:tc>
        <w:tc>
          <w:tcPr>
            <w:tcW w:w="1516" w:type="pct"/>
            <w:vMerge w:val="restart"/>
            <w:tcBorders>
              <w:tl2br w:val="nil"/>
              <w:tr2bl w:val="nil"/>
            </w:tcBorders>
            <w:shd w:val="clear" w:color="auto" w:fill="FFFFFF"/>
            <w:vAlign w:val="center"/>
          </w:tcPr>
          <w:p w14:paraId="511CB012">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sz w:val="24"/>
                <w:szCs w:val="24"/>
                <w:highlight w:val="none"/>
                <w:lang w:eastAsia="zh-CN"/>
              </w:rPr>
            </w:pPr>
            <w:r>
              <w:rPr>
                <w:rFonts w:hint="eastAsia" w:ascii="宋体"/>
                <w:sz w:val="24"/>
                <w:szCs w:val="24"/>
                <w:highlight w:val="none"/>
                <w:lang w:eastAsia="zh-CN"/>
              </w:rPr>
              <w:t>南日固定站</w:t>
            </w:r>
          </w:p>
        </w:tc>
        <w:tc>
          <w:tcPr>
            <w:tcW w:w="1377" w:type="pct"/>
            <w:tcBorders>
              <w:tl2br w:val="nil"/>
              <w:tr2bl w:val="nil"/>
            </w:tcBorders>
            <w:shd w:val="clear" w:color="auto" w:fill="FFFFFF"/>
            <w:vAlign w:val="center"/>
          </w:tcPr>
          <w:p w14:paraId="00820E0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MR0318</w:t>
            </w:r>
          </w:p>
        </w:tc>
        <w:tc>
          <w:tcPr>
            <w:tcW w:w="812" w:type="pct"/>
            <w:tcBorders>
              <w:tl2br w:val="nil"/>
              <w:tr2bl w:val="nil"/>
            </w:tcBorders>
            <w:shd w:val="clear" w:color="auto" w:fill="FFFFFF"/>
            <w:vAlign w:val="center"/>
          </w:tcPr>
          <w:p w14:paraId="1D3D80B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深圳远瀚</w:t>
            </w:r>
          </w:p>
        </w:tc>
        <w:tc>
          <w:tcPr>
            <w:tcW w:w="793" w:type="pct"/>
            <w:tcBorders>
              <w:tl2br w:val="nil"/>
              <w:tr2bl w:val="nil"/>
            </w:tcBorders>
            <w:shd w:val="clear" w:color="auto" w:fill="FFFFFF"/>
            <w:vAlign w:val="center"/>
          </w:tcPr>
          <w:p w14:paraId="4A96236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2套</w:t>
            </w:r>
          </w:p>
        </w:tc>
      </w:tr>
      <w:tr w14:paraId="494B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0791ACC">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14:paraId="573C294C">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14:paraId="1F5F50B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测向接收机</w:t>
            </w:r>
            <w:r>
              <w:rPr>
                <w:rFonts w:hint="eastAsia" w:ascii="宋体" w:hAnsi="宋体" w:eastAsia="宋体" w:cs="宋体"/>
                <w:sz w:val="24"/>
                <w:szCs w:val="24"/>
                <w:highlight w:val="none"/>
                <w:lang w:val="en-US" w:eastAsia="zh-CN"/>
              </w:rPr>
              <w:t>MDFS900</w:t>
            </w:r>
          </w:p>
        </w:tc>
        <w:tc>
          <w:tcPr>
            <w:tcW w:w="812" w:type="pct"/>
            <w:tcBorders>
              <w:tl2br w:val="nil"/>
              <w:tr2bl w:val="nil"/>
            </w:tcBorders>
            <w:shd w:val="clear" w:color="auto" w:fill="FFFFFF"/>
            <w:vAlign w:val="center"/>
          </w:tcPr>
          <w:p w14:paraId="3738161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深圳远瀚</w:t>
            </w:r>
          </w:p>
        </w:tc>
        <w:tc>
          <w:tcPr>
            <w:tcW w:w="793" w:type="pct"/>
            <w:tcBorders>
              <w:tl2br w:val="nil"/>
              <w:tr2bl w:val="nil"/>
            </w:tcBorders>
            <w:shd w:val="clear" w:color="auto" w:fill="FFFFFF"/>
            <w:vAlign w:val="center"/>
          </w:tcPr>
          <w:p w14:paraId="097B16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1套</w:t>
            </w:r>
          </w:p>
        </w:tc>
      </w:tr>
    </w:tbl>
    <w:p w14:paraId="6DD2D19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highlight w:val="none"/>
        </w:rPr>
      </w:pPr>
      <w:r>
        <w:rPr>
          <w:rStyle w:val="13"/>
          <w:rFonts w:hint="eastAsia" w:ascii="宋体" w:hAnsi="宋体" w:eastAsia="宋体" w:cs="宋体"/>
          <w:highlight w:val="none"/>
        </w:rPr>
        <w:t>2.移动监测站</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47"/>
        <w:gridCol w:w="2333"/>
        <w:gridCol w:w="1364"/>
        <w:gridCol w:w="1294"/>
      </w:tblGrid>
      <w:tr w14:paraId="6D37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tcBorders>
              <w:tl2br w:val="nil"/>
              <w:tr2bl w:val="nil"/>
            </w:tcBorders>
            <w:shd w:val="clear" w:color="auto" w:fill="FFFFFF"/>
            <w:vAlign w:val="center"/>
          </w:tcPr>
          <w:p w14:paraId="631ABF6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序号</w:t>
            </w:r>
          </w:p>
        </w:tc>
        <w:tc>
          <w:tcPr>
            <w:tcW w:w="1524" w:type="pct"/>
            <w:tcBorders>
              <w:tl2br w:val="nil"/>
              <w:tr2bl w:val="nil"/>
            </w:tcBorders>
            <w:shd w:val="clear" w:color="auto" w:fill="FFFFFF"/>
            <w:vAlign w:val="center"/>
          </w:tcPr>
          <w:p w14:paraId="7B2E83C7">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站点名称</w:t>
            </w:r>
          </w:p>
        </w:tc>
        <w:tc>
          <w:tcPr>
            <w:tcW w:w="1396" w:type="pct"/>
            <w:tcBorders>
              <w:tl2br w:val="nil"/>
              <w:tr2bl w:val="nil"/>
            </w:tcBorders>
            <w:shd w:val="clear" w:color="auto" w:fill="FFFFFF"/>
            <w:vAlign w:val="center"/>
          </w:tcPr>
          <w:p w14:paraId="7CEBB6F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监测主设备</w:t>
            </w:r>
          </w:p>
        </w:tc>
        <w:tc>
          <w:tcPr>
            <w:tcW w:w="816" w:type="pct"/>
            <w:tcBorders>
              <w:tl2br w:val="nil"/>
              <w:tr2bl w:val="nil"/>
            </w:tcBorders>
            <w:shd w:val="clear" w:color="auto" w:fill="FFFFFF"/>
            <w:vAlign w:val="center"/>
          </w:tcPr>
          <w:p w14:paraId="295B4B2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厂家</w:t>
            </w:r>
          </w:p>
        </w:tc>
        <w:tc>
          <w:tcPr>
            <w:tcW w:w="774" w:type="pct"/>
            <w:tcBorders>
              <w:tl2br w:val="nil"/>
              <w:tr2bl w:val="nil"/>
            </w:tcBorders>
            <w:shd w:val="clear" w:color="auto" w:fill="FFFFFF"/>
            <w:vAlign w:val="center"/>
          </w:tcPr>
          <w:p w14:paraId="186F509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数量</w:t>
            </w:r>
          </w:p>
        </w:tc>
      </w:tr>
      <w:tr w14:paraId="69A3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8" w:type="pct"/>
            <w:vMerge w:val="restart"/>
            <w:tcBorders>
              <w:tl2br w:val="nil"/>
              <w:tr2bl w:val="nil"/>
            </w:tcBorders>
            <w:shd w:val="clear" w:color="auto" w:fill="FFFFFF"/>
            <w:vAlign w:val="center"/>
          </w:tcPr>
          <w:p w14:paraId="4E2C303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24" w:type="pct"/>
            <w:vMerge w:val="restart"/>
            <w:tcBorders>
              <w:tl2br w:val="nil"/>
              <w:tr2bl w:val="nil"/>
            </w:tcBorders>
            <w:shd w:val="clear" w:color="auto" w:fill="FFFFFF"/>
            <w:vAlign w:val="center"/>
          </w:tcPr>
          <w:p w14:paraId="30FCA06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移动监测站</w:t>
            </w:r>
          </w:p>
        </w:tc>
        <w:tc>
          <w:tcPr>
            <w:tcW w:w="1396" w:type="pct"/>
            <w:tcBorders>
              <w:tl2br w:val="nil"/>
              <w:tr2bl w:val="nil"/>
            </w:tcBorders>
            <w:shd w:val="clear" w:color="auto" w:fill="FFFFFF"/>
            <w:vAlign w:val="center"/>
          </w:tcPr>
          <w:p w14:paraId="3EF0EF7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eastAsia="宋体" w:asciiTheme="minorHAnsi" w:hAnsiTheme="minorHAnsi" w:cstheme="minorBidi"/>
                <w:kern w:val="0"/>
                <w:sz w:val="24"/>
                <w:szCs w:val="24"/>
                <w:highlight w:val="none"/>
                <w:lang w:val="en-US" w:eastAsia="zh-CN" w:bidi="ar"/>
              </w:rPr>
            </w:pPr>
            <w:r>
              <w:rPr>
                <w:rFonts w:hint="eastAsia" w:ascii="宋体" w:hAnsi="宋体" w:eastAsia="宋体" w:cs="宋体"/>
                <w:sz w:val="24"/>
                <w:szCs w:val="24"/>
                <w:highlight w:val="none"/>
              </w:rPr>
              <w:t>监测接收机ESM</w:t>
            </w:r>
            <w:r>
              <w:rPr>
                <w:rFonts w:hint="eastAsia" w:ascii="宋体" w:hAnsi="宋体" w:eastAsia="宋体" w:cs="宋体"/>
                <w:sz w:val="24"/>
                <w:szCs w:val="24"/>
                <w:highlight w:val="none"/>
                <w:lang w:val="en-US" w:eastAsia="zh-CN"/>
              </w:rPr>
              <w:t>D</w:t>
            </w:r>
          </w:p>
        </w:tc>
        <w:tc>
          <w:tcPr>
            <w:tcW w:w="816" w:type="pct"/>
            <w:tcBorders>
              <w:tl2br w:val="nil"/>
              <w:tr2bl w:val="nil"/>
            </w:tcBorders>
            <w:shd w:val="clear" w:color="auto" w:fill="FFFFFF"/>
            <w:vAlign w:val="center"/>
          </w:tcPr>
          <w:p w14:paraId="3FF844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德国R&amp;S</w:t>
            </w:r>
          </w:p>
        </w:tc>
        <w:tc>
          <w:tcPr>
            <w:tcW w:w="774" w:type="pct"/>
            <w:tcBorders>
              <w:tl2br w:val="nil"/>
              <w:tr2bl w:val="nil"/>
            </w:tcBorders>
            <w:shd w:val="clear" w:color="auto" w:fill="FFFFFF"/>
            <w:vAlign w:val="center"/>
          </w:tcPr>
          <w:p w14:paraId="2D61032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1台</w:t>
            </w:r>
          </w:p>
        </w:tc>
      </w:tr>
      <w:tr w14:paraId="71AB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8" w:type="pct"/>
            <w:vMerge w:val="continue"/>
            <w:tcBorders>
              <w:tl2br w:val="nil"/>
              <w:tr2bl w:val="nil"/>
            </w:tcBorders>
            <w:shd w:val="clear" w:color="auto" w:fill="FFFFFF"/>
            <w:vAlign w:val="center"/>
          </w:tcPr>
          <w:p w14:paraId="69B713A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c>
          <w:tcPr>
            <w:tcW w:w="1524" w:type="pct"/>
            <w:vMerge w:val="continue"/>
            <w:tcBorders>
              <w:tl2br w:val="nil"/>
              <w:tr2bl w:val="nil"/>
            </w:tcBorders>
            <w:shd w:val="clear" w:color="auto" w:fill="FFFFFF"/>
            <w:vAlign w:val="center"/>
          </w:tcPr>
          <w:p w14:paraId="3681543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c>
          <w:tcPr>
            <w:tcW w:w="1396" w:type="pct"/>
            <w:tcBorders>
              <w:tl2br w:val="nil"/>
              <w:tr2bl w:val="nil"/>
            </w:tcBorders>
            <w:shd w:val="clear" w:color="auto" w:fill="FFFFFF"/>
            <w:vAlign w:val="center"/>
          </w:tcPr>
          <w:p w14:paraId="0F74319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eastAsia="宋体" w:asciiTheme="minorHAnsi" w:hAnsiTheme="minorHAnsi" w:cstheme="minorBidi"/>
                <w:kern w:val="0"/>
                <w:sz w:val="24"/>
                <w:szCs w:val="24"/>
                <w:highlight w:val="none"/>
                <w:lang w:val="en-US" w:eastAsia="zh-CN" w:bidi="ar"/>
              </w:rPr>
            </w:pPr>
            <w:r>
              <w:rPr>
                <w:rFonts w:hint="eastAsia" w:ascii="宋体" w:hAnsi="宋体" w:eastAsia="宋体" w:cs="宋体"/>
                <w:sz w:val="24"/>
                <w:szCs w:val="24"/>
                <w:highlight w:val="none"/>
              </w:rPr>
              <w:t>测向接收机</w:t>
            </w:r>
            <w:r>
              <w:rPr>
                <w:rFonts w:hint="eastAsia" w:ascii="宋体" w:hAnsi="宋体" w:eastAsia="宋体" w:cs="宋体"/>
                <w:sz w:val="24"/>
                <w:szCs w:val="24"/>
                <w:highlight w:val="none"/>
                <w:lang w:val="en-US" w:eastAsia="zh-CN"/>
              </w:rPr>
              <w:t>DDF550-C</w:t>
            </w:r>
          </w:p>
        </w:tc>
        <w:tc>
          <w:tcPr>
            <w:tcW w:w="816" w:type="pct"/>
            <w:tcBorders>
              <w:tl2br w:val="nil"/>
              <w:tr2bl w:val="nil"/>
            </w:tcBorders>
            <w:shd w:val="clear" w:color="auto" w:fill="FFFFFF"/>
            <w:vAlign w:val="center"/>
          </w:tcPr>
          <w:p w14:paraId="13C5D0D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德国R&amp;S</w:t>
            </w:r>
          </w:p>
        </w:tc>
        <w:tc>
          <w:tcPr>
            <w:tcW w:w="774" w:type="pct"/>
            <w:tcBorders>
              <w:tl2br w:val="nil"/>
              <w:tr2bl w:val="nil"/>
            </w:tcBorders>
            <w:shd w:val="clear" w:color="auto" w:fill="FFFFFF"/>
            <w:vAlign w:val="center"/>
          </w:tcPr>
          <w:p w14:paraId="1ECEE45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1台</w:t>
            </w:r>
          </w:p>
        </w:tc>
      </w:tr>
    </w:tbl>
    <w:p w14:paraId="7E46FA5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lang w:val="en-US" w:eastAsia="zh-CN"/>
        </w:rPr>
      </w:pPr>
      <w:r>
        <w:rPr>
          <w:rStyle w:val="13"/>
          <w:rFonts w:hint="eastAsia" w:ascii="宋体" w:hAnsi="宋体" w:eastAsia="宋体" w:cs="宋体"/>
          <w:lang w:val="en-US" w:eastAsia="zh-CN"/>
        </w:rPr>
        <w:t>3.便携式监测设备</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39"/>
        <w:gridCol w:w="2333"/>
        <w:gridCol w:w="1381"/>
        <w:gridCol w:w="1295"/>
      </w:tblGrid>
      <w:tr w14:paraId="2404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5A864EA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序号</w:t>
            </w:r>
          </w:p>
        </w:tc>
        <w:tc>
          <w:tcPr>
            <w:tcW w:w="1517" w:type="pct"/>
            <w:tcBorders>
              <w:tl2br w:val="nil"/>
              <w:tr2bl w:val="nil"/>
            </w:tcBorders>
            <w:shd w:val="clear" w:color="auto" w:fill="FFFFFF"/>
            <w:vAlign w:val="center"/>
          </w:tcPr>
          <w:p w14:paraId="47F7D869">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13"/>
                <w:rFonts w:hint="eastAsia" w:ascii="宋体" w:hAnsi="宋体" w:eastAsia="宋体" w:cs="宋体"/>
                <w:highlight w:val="none"/>
                <w:lang w:eastAsia="zh-CN"/>
              </w:rPr>
              <w:t>设备名称</w:t>
            </w:r>
          </w:p>
        </w:tc>
        <w:tc>
          <w:tcPr>
            <w:tcW w:w="1394" w:type="pct"/>
            <w:tcBorders>
              <w:tl2br w:val="nil"/>
              <w:tr2bl w:val="nil"/>
            </w:tcBorders>
            <w:shd w:val="clear" w:color="auto" w:fill="FFFFFF"/>
            <w:vAlign w:val="center"/>
          </w:tcPr>
          <w:p w14:paraId="0D1749B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监测主设备</w:t>
            </w:r>
          </w:p>
        </w:tc>
        <w:tc>
          <w:tcPr>
            <w:tcW w:w="825" w:type="pct"/>
            <w:tcBorders>
              <w:tl2br w:val="nil"/>
              <w:tr2bl w:val="nil"/>
            </w:tcBorders>
            <w:shd w:val="clear" w:color="auto" w:fill="FFFFFF"/>
            <w:vAlign w:val="center"/>
          </w:tcPr>
          <w:p w14:paraId="06ADF13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厂家</w:t>
            </w:r>
          </w:p>
        </w:tc>
        <w:tc>
          <w:tcPr>
            <w:tcW w:w="774" w:type="pct"/>
            <w:tcBorders>
              <w:tl2br w:val="nil"/>
              <w:tr2bl w:val="nil"/>
            </w:tcBorders>
            <w:shd w:val="clear" w:color="auto" w:fill="FFFFFF"/>
            <w:vAlign w:val="center"/>
          </w:tcPr>
          <w:p w14:paraId="61362D5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数量</w:t>
            </w:r>
          </w:p>
        </w:tc>
      </w:tr>
      <w:tr w14:paraId="44A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35EB87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7" w:type="pct"/>
            <w:tcBorders>
              <w:tl2br w:val="nil"/>
              <w:tr2bl w:val="nil"/>
            </w:tcBorders>
            <w:shd w:val="clear" w:color="auto" w:fill="FFFFFF"/>
            <w:vAlign w:val="center"/>
          </w:tcPr>
          <w:p w14:paraId="5F8BDC7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Fonts w:hint="eastAsia" w:ascii="宋体" w:hAnsi="宋体" w:eastAsia="宋体" w:cs="宋体"/>
                <w:sz w:val="24"/>
                <w:szCs w:val="24"/>
                <w:highlight w:val="none"/>
                <w:lang w:eastAsia="zh-CN"/>
              </w:rPr>
              <w:t>便携式监测设备</w:t>
            </w:r>
          </w:p>
        </w:tc>
        <w:tc>
          <w:tcPr>
            <w:tcW w:w="1394" w:type="pct"/>
            <w:tcBorders>
              <w:tl2br w:val="nil"/>
              <w:tr2bl w:val="nil"/>
            </w:tcBorders>
            <w:shd w:val="clear" w:color="auto" w:fill="FFFFFF"/>
            <w:vAlign w:val="center"/>
          </w:tcPr>
          <w:p w14:paraId="32DF2F7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PR100</w:t>
            </w:r>
          </w:p>
        </w:tc>
        <w:tc>
          <w:tcPr>
            <w:tcW w:w="825" w:type="pct"/>
            <w:tcBorders>
              <w:tl2br w:val="nil"/>
              <w:tr2bl w:val="nil"/>
            </w:tcBorders>
            <w:shd w:val="clear" w:color="auto" w:fill="FFFFFF"/>
            <w:vAlign w:val="center"/>
          </w:tcPr>
          <w:p w14:paraId="48BFD43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74" w:type="pct"/>
            <w:tcBorders>
              <w:tl2br w:val="nil"/>
              <w:tr2bl w:val="nil"/>
            </w:tcBorders>
            <w:shd w:val="clear" w:color="auto" w:fill="FFFFFF"/>
            <w:vAlign w:val="center"/>
          </w:tcPr>
          <w:p w14:paraId="4502EEE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r>
    </w:tbl>
    <w:p w14:paraId="47B5A0D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lang w:val="en-US" w:eastAsia="zh-CN"/>
        </w:rPr>
      </w:pPr>
      <w:r>
        <w:rPr>
          <w:rStyle w:val="13"/>
          <w:rFonts w:hint="eastAsia" w:ascii="宋体" w:hAnsi="宋体" w:eastAsia="宋体" w:cs="宋体"/>
          <w:lang w:val="en-US" w:eastAsia="zh-CN"/>
        </w:rPr>
        <w:t>4.无线电控制中心</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4"/>
        <w:gridCol w:w="2533"/>
        <w:gridCol w:w="2304"/>
        <w:gridCol w:w="1409"/>
        <w:gridCol w:w="1293"/>
      </w:tblGrid>
      <w:tr w14:paraId="1722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29E57C5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序号</w:t>
            </w:r>
          </w:p>
        </w:tc>
        <w:tc>
          <w:tcPr>
            <w:tcW w:w="1516" w:type="pct"/>
            <w:tcBorders>
              <w:tl2br w:val="nil"/>
              <w:tr2bl w:val="nil"/>
            </w:tcBorders>
            <w:shd w:val="clear" w:color="auto" w:fill="FFFFFF"/>
            <w:vAlign w:val="center"/>
          </w:tcPr>
          <w:p w14:paraId="5F780369">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lang w:eastAsia="zh-CN"/>
              </w:rPr>
            </w:pPr>
            <w:r>
              <w:rPr>
                <w:rStyle w:val="13"/>
                <w:rFonts w:hint="eastAsia" w:ascii="宋体" w:hAnsi="宋体" w:eastAsia="宋体" w:cs="宋体"/>
                <w:lang w:eastAsia="zh-CN"/>
              </w:rPr>
              <w:t>设备名称</w:t>
            </w:r>
          </w:p>
        </w:tc>
        <w:tc>
          <w:tcPr>
            <w:tcW w:w="1379" w:type="pct"/>
            <w:tcBorders>
              <w:tl2br w:val="nil"/>
              <w:tr2bl w:val="nil"/>
            </w:tcBorders>
            <w:shd w:val="clear" w:color="auto" w:fill="FFFFFF"/>
            <w:vAlign w:val="center"/>
          </w:tcPr>
          <w:p w14:paraId="21DCB85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lang w:eastAsia="zh-CN"/>
              </w:rPr>
            </w:pPr>
            <w:r>
              <w:rPr>
                <w:rStyle w:val="13"/>
                <w:rFonts w:hint="eastAsia" w:ascii="宋体" w:hAnsi="宋体" w:eastAsia="宋体" w:cs="宋体"/>
                <w:lang w:eastAsia="zh-CN"/>
              </w:rPr>
              <w:t>品牌型号</w:t>
            </w:r>
          </w:p>
        </w:tc>
        <w:tc>
          <w:tcPr>
            <w:tcW w:w="843" w:type="pct"/>
            <w:tcBorders>
              <w:tl2br w:val="nil"/>
              <w:tr2bl w:val="nil"/>
            </w:tcBorders>
            <w:shd w:val="clear" w:color="auto" w:fill="FFFFFF"/>
            <w:vAlign w:val="center"/>
          </w:tcPr>
          <w:p w14:paraId="02DDBA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厂家</w:t>
            </w:r>
          </w:p>
        </w:tc>
        <w:tc>
          <w:tcPr>
            <w:tcW w:w="774" w:type="pct"/>
            <w:tcBorders>
              <w:tl2br w:val="nil"/>
              <w:tr2bl w:val="nil"/>
            </w:tcBorders>
            <w:shd w:val="clear" w:color="auto" w:fill="FFFFFF"/>
            <w:vAlign w:val="center"/>
          </w:tcPr>
          <w:p w14:paraId="25782D9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数量</w:t>
            </w:r>
          </w:p>
        </w:tc>
      </w:tr>
      <w:tr w14:paraId="0379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CE1F59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w:t>
            </w:r>
          </w:p>
        </w:tc>
        <w:tc>
          <w:tcPr>
            <w:tcW w:w="1516" w:type="pct"/>
            <w:tcBorders>
              <w:tl2br w:val="nil"/>
              <w:tr2bl w:val="nil"/>
            </w:tcBorders>
            <w:shd w:val="clear" w:color="auto" w:fill="FFFFFF"/>
            <w:vAlign w:val="center"/>
          </w:tcPr>
          <w:p w14:paraId="2B8D510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lang w:eastAsia="zh-CN"/>
              </w:rPr>
            </w:pPr>
            <w:r>
              <w:rPr>
                <w:rFonts w:hint="eastAsia" w:ascii="宋体" w:hAnsi="宋体" w:eastAsia="宋体" w:cs="宋体"/>
                <w:sz w:val="24"/>
                <w:szCs w:val="24"/>
                <w:lang w:eastAsia="zh-CN"/>
              </w:rPr>
              <w:t>大屏系统</w:t>
            </w:r>
          </w:p>
        </w:tc>
        <w:tc>
          <w:tcPr>
            <w:tcW w:w="2304" w:type="dxa"/>
            <w:tcBorders>
              <w:tl2br w:val="nil"/>
              <w:tr2bl w:val="nil"/>
            </w:tcBorders>
            <w:shd w:val="clear" w:color="auto" w:fill="FFFFFF"/>
            <w:vAlign w:val="center"/>
          </w:tcPr>
          <w:p w14:paraId="1AFA3A1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eastAsia="宋体"/>
                <w:highlight w:val="none"/>
                <w:lang w:val="en-US" w:eastAsia="zh-CN"/>
              </w:rPr>
            </w:pPr>
            <w:r>
              <w:rPr>
                <w:rFonts w:hint="eastAsia" w:eastAsia="宋体"/>
                <w:highlight w:val="none"/>
                <w:lang w:val="en-US" w:eastAsia="zh-CN"/>
              </w:rPr>
              <w:t>——</w:t>
            </w:r>
          </w:p>
        </w:tc>
        <w:tc>
          <w:tcPr>
            <w:tcW w:w="1409" w:type="dxa"/>
            <w:tcBorders>
              <w:tl2br w:val="nil"/>
              <w:tr2bl w:val="nil"/>
            </w:tcBorders>
            <w:shd w:val="clear" w:color="auto" w:fill="FFFFFF"/>
            <w:vAlign w:val="center"/>
          </w:tcPr>
          <w:p w14:paraId="7D8E999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highlight w:val="none"/>
              </w:rPr>
            </w:pPr>
            <w:r>
              <w:rPr>
                <w:rFonts w:hint="eastAsia" w:eastAsia="宋体"/>
                <w:highlight w:val="none"/>
                <w:lang w:val="en-US" w:eastAsia="zh-CN"/>
              </w:rPr>
              <w:t>——</w:t>
            </w:r>
          </w:p>
        </w:tc>
        <w:tc>
          <w:tcPr>
            <w:tcW w:w="774" w:type="pct"/>
            <w:tcBorders>
              <w:tl2br w:val="nil"/>
              <w:tr2bl w:val="nil"/>
            </w:tcBorders>
            <w:shd w:val="clear" w:color="auto" w:fill="FFFFFF"/>
            <w:vAlign w:val="center"/>
          </w:tcPr>
          <w:p w14:paraId="18786F0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套</w:t>
            </w:r>
          </w:p>
        </w:tc>
      </w:tr>
      <w:tr w14:paraId="4A5A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4544CC2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16" w:type="pct"/>
            <w:tcBorders>
              <w:tl2br w:val="nil"/>
              <w:tr2bl w:val="nil"/>
            </w:tcBorders>
            <w:shd w:val="clear" w:color="auto" w:fill="FFFFFF"/>
            <w:vAlign w:val="center"/>
          </w:tcPr>
          <w:p w14:paraId="154AE75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视频会议系统</w:t>
            </w:r>
          </w:p>
        </w:tc>
        <w:tc>
          <w:tcPr>
            <w:tcW w:w="1379" w:type="pct"/>
            <w:tcBorders>
              <w:tl2br w:val="nil"/>
              <w:tr2bl w:val="nil"/>
            </w:tcBorders>
            <w:shd w:val="clear" w:color="auto" w:fill="FFFFFF"/>
            <w:vAlign w:val="center"/>
          </w:tcPr>
          <w:p w14:paraId="626FAF5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Polycom</w:t>
            </w:r>
          </w:p>
        </w:tc>
        <w:tc>
          <w:tcPr>
            <w:tcW w:w="843" w:type="pct"/>
            <w:tcBorders>
              <w:tl2br w:val="nil"/>
              <w:tr2bl w:val="nil"/>
            </w:tcBorders>
            <w:shd w:val="clear" w:color="auto" w:fill="FFFFFF"/>
            <w:vAlign w:val="center"/>
          </w:tcPr>
          <w:p w14:paraId="1009AAF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宝利通</w:t>
            </w:r>
          </w:p>
        </w:tc>
        <w:tc>
          <w:tcPr>
            <w:tcW w:w="774" w:type="pct"/>
            <w:tcBorders>
              <w:tl2br w:val="nil"/>
              <w:tr2bl w:val="nil"/>
            </w:tcBorders>
            <w:shd w:val="clear" w:color="auto" w:fill="FFFFFF"/>
            <w:vAlign w:val="center"/>
          </w:tcPr>
          <w:p w14:paraId="19FE473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4C8E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1835682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16" w:type="pct"/>
            <w:tcBorders>
              <w:tl2br w:val="nil"/>
              <w:tr2bl w:val="nil"/>
            </w:tcBorders>
            <w:shd w:val="clear" w:color="auto" w:fill="FFFFFF"/>
            <w:vAlign w:val="center"/>
          </w:tcPr>
          <w:p w14:paraId="707DDF9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控制终端</w:t>
            </w:r>
          </w:p>
        </w:tc>
        <w:tc>
          <w:tcPr>
            <w:tcW w:w="1379" w:type="pct"/>
            <w:tcBorders>
              <w:tl2br w:val="nil"/>
              <w:tr2bl w:val="nil"/>
            </w:tcBorders>
            <w:shd w:val="clear" w:color="auto" w:fill="FFFFFF"/>
            <w:vAlign w:val="center"/>
          </w:tcPr>
          <w:p w14:paraId="708F644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联想、戴尔</w:t>
            </w:r>
          </w:p>
        </w:tc>
        <w:tc>
          <w:tcPr>
            <w:tcW w:w="843" w:type="pct"/>
            <w:tcBorders>
              <w:tl2br w:val="nil"/>
              <w:tr2bl w:val="nil"/>
            </w:tcBorders>
            <w:shd w:val="clear" w:color="auto" w:fill="FFFFFF"/>
            <w:vAlign w:val="center"/>
          </w:tcPr>
          <w:p w14:paraId="7842628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联想、戴尔等</w:t>
            </w:r>
          </w:p>
        </w:tc>
        <w:tc>
          <w:tcPr>
            <w:tcW w:w="774" w:type="pct"/>
            <w:tcBorders>
              <w:tl2br w:val="nil"/>
              <w:tr2bl w:val="nil"/>
            </w:tcBorders>
            <w:shd w:val="clear" w:color="auto" w:fill="FFFFFF"/>
            <w:vAlign w:val="center"/>
          </w:tcPr>
          <w:p w14:paraId="4234644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7台</w:t>
            </w:r>
          </w:p>
        </w:tc>
      </w:tr>
      <w:tr w14:paraId="6CE6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32D3AE7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16" w:type="pct"/>
            <w:tcBorders>
              <w:tl2br w:val="nil"/>
              <w:tr2bl w:val="nil"/>
            </w:tcBorders>
            <w:shd w:val="clear" w:color="auto" w:fill="FFFFFF"/>
            <w:vAlign w:val="center"/>
          </w:tcPr>
          <w:p w14:paraId="6F68F98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控制中心电动伸缩门</w:t>
            </w:r>
          </w:p>
        </w:tc>
        <w:tc>
          <w:tcPr>
            <w:tcW w:w="1379" w:type="pct"/>
            <w:tcBorders>
              <w:tl2br w:val="nil"/>
              <w:tr2bl w:val="nil"/>
            </w:tcBorders>
            <w:shd w:val="clear" w:color="auto" w:fill="FFFFFF"/>
            <w:vAlign w:val="center"/>
          </w:tcPr>
          <w:p w14:paraId="7C10E39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w:t>
            </w:r>
          </w:p>
        </w:tc>
        <w:tc>
          <w:tcPr>
            <w:tcW w:w="843" w:type="pct"/>
            <w:tcBorders>
              <w:tl2br w:val="nil"/>
              <w:tr2bl w:val="nil"/>
            </w:tcBorders>
            <w:shd w:val="clear" w:color="auto" w:fill="FFFFFF"/>
            <w:vAlign w:val="center"/>
          </w:tcPr>
          <w:p w14:paraId="46932CF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eastAsia="宋体"/>
                <w:highlight w:val="none"/>
                <w:lang w:val="en-US" w:eastAsia="zh-CN"/>
              </w:rPr>
              <w:t>亿鸿达门业</w:t>
            </w:r>
          </w:p>
        </w:tc>
        <w:tc>
          <w:tcPr>
            <w:tcW w:w="774" w:type="pct"/>
            <w:tcBorders>
              <w:tl2br w:val="nil"/>
              <w:tr2bl w:val="nil"/>
            </w:tcBorders>
            <w:shd w:val="clear" w:color="auto" w:fill="FFFFFF"/>
            <w:vAlign w:val="center"/>
          </w:tcPr>
          <w:p w14:paraId="0C844A5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bl>
    <w:p w14:paraId="585DC3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rStyle w:val="13"/>
          <w:rFonts w:hint="eastAsia" w:ascii="宋体" w:hAnsi="宋体" w:eastAsia="宋体" w:cs="宋体"/>
          <w:highlight w:val="yellow"/>
          <w:lang w:eastAsia="zh-CN"/>
        </w:rPr>
      </w:pPr>
      <w:r>
        <w:rPr>
          <w:rStyle w:val="13"/>
          <w:rFonts w:hint="eastAsia" w:ascii="宋体" w:hAnsi="宋体" w:eastAsia="宋体" w:cs="宋体"/>
          <w:highlight w:val="yellow"/>
          <w:lang w:eastAsia="zh-CN"/>
        </w:rPr>
        <w:t>备注：</w:t>
      </w:r>
      <w:r>
        <w:rPr>
          <w:rFonts w:hint="eastAsia" w:ascii="宋体"/>
          <w:sz w:val="24"/>
          <w:szCs w:val="24"/>
          <w:highlight w:val="yellow"/>
          <w:lang w:eastAsia="zh-CN"/>
        </w:rPr>
        <w:t>平潭固定站、东山固定站、南日固定站三个站点仍在质保期内，</w:t>
      </w:r>
      <w:r>
        <w:rPr>
          <w:rFonts w:ascii="宋体" w:hAnsi="宋体" w:eastAsia="宋体" w:cs="宋体"/>
          <w:sz w:val="24"/>
          <w:highlight w:val="yellow"/>
        </w:rPr>
        <w:t>代维方需提供故障发现、故障排查、设备送修和拆装服务，维修服务由原厂家提供。</w:t>
      </w:r>
    </w:p>
    <w:p w14:paraId="15CD2B0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rPr>
        <w:t>（四）运维服务内容及要求</w:t>
      </w:r>
    </w:p>
    <w:p w14:paraId="7AD2C02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3"/>
      </w:pPr>
      <w:r>
        <w:rPr>
          <w:rStyle w:val="13"/>
          <w:rFonts w:hint="eastAsia" w:ascii="宋体" w:hAnsi="宋体" w:eastAsia="宋体" w:cs="宋体"/>
        </w:rPr>
        <w:t>1.现场勘察采集和巡检核验（首次）</w:t>
      </w:r>
    </w:p>
    <w:p w14:paraId="000944F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勘察巡检要求：运维服务期第一个月内负责按照巡检的规范要求完成无线电</w:t>
      </w:r>
      <w:r>
        <w:rPr>
          <w:rFonts w:hint="eastAsia" w:ascii="宋体" w:hAnsi="宋体" w:eastAsia="宋体" w:cs="宋体"/>
          <w:sz w:val="24"/>
          <w:szCs w:val="24"/>
          <w:lang w:eastAsia="zh-CN"/>
        </w:rPr>
        <w:t>技术</w:t>
      </w:r>
      <w:r>
        <w:rPr>
          <w:rFonts w:hint="eastAsia" w:ascii="宋体" w:hAnsi="宋体" w:eastAsia="宋体" w:cs="宋体"/>
          <w:sz w:val="24"/>
          <w:szCs w:val="24"/>
        </w:rPr>
        <w:t>设施首次现场勘察采集和巡检核验。</w:t>
      </w:r>
    </w:p>
    <w:p w14:paraId="440458B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勘察巡检主要内容：</w:t>
      </w:r>
    </w:p>
    <w:p w14:paraId="1D9D5F6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对无线电</w:t>
      </w:r>
      <w:r>
        <w:rPr>
          <w:rFonts w:hint="eastAsia" w:ascii="宋体" w:hAnsi="宋体" w:eastAsia="宋体" w:cs="宋体"/>
          <w:sz w:val="24"/>
          <w:szCs w:val="24"/>
          <w:lang w:eastAsia="zh-CN"/>
        </w:rPr>
        <w:t>技术设备和配套设施</w:t>
      </w:r>
      <w:r>
        <w:rPr>
          <w:rFonts w:hint="eastAsia" w:ascii="宋体" w:hAnsi="宋体" w:eastAsia="宋体" w:cs="宋体"/>
          <w:sz w:val="24"/>
          <w:szCs w:val="24"/>
        </w:rPr>
        <w:t>进行测试和检查，掌握各类设备及系统的实际运行状况；</w:t>
      </w:r>
    </w:p>
    <w:p w14:paraId="29A9D56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）对无线电技术设施进行</w:t>
      </w:r>
      <w:r>
        <w:rPr>
          <w:rFonts w:hint="eastAsia" w:ascii="宋体" w:hAnsi="宋体" w:eastAsia="宋体" w:cs="宋体"/>
          <w:sz w:val="24"/>
          <w:szCs w:val="24"/>
        </w:rPr>
        <w:t>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159D421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对无线电监测设施全景和各设施局部场景等进行拍摄采集，对各无线电监测设备状态进行综合评估并建立完整的、标准的运维档案。</w:t>
      </w:r>
    </w:p>
    <w:p w14:paraId="2046F8A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）第一个服务周期（三个月）结束后15日内提供一份满足要求的</w:t>
      </w:r>
      <w:r>
        <w:rPr>
          <w:rFonts w:hint="eastAsia" w:ascii="宋体" w:hAnsi="宋体" w:eastAsia="宋体" w:cs="宋体"/>
          <w:sz w:val="24"/>
          <w:szCs w:val="24"/>
        </w:rPr>
        <w:t>巡检报告</w:t>
      </w:r>
      <w:r>
        <w:rPr>
          <w:rFonts w:hint="eastAsia" w:ascii="宋体" w:hAnsi="宋体" w:eastAsia="宋体" w:cs="宋体"/>
          <w:sz w:val="24"/>
          <w:szCs w:val="24"/>
          <w:lang w:eastAsia="zh-CN"/>
        </w:rPr>
        <w:t>。</w:t>
      </w:r>
    </w:p>
    <w:p w14:paraId="3610FC0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3"/>
      </w:pPr>
      <w:r>
        <w:rPr>
          <w:rStyle w:val="13"/>
          <w:rFonts w:hint="eastAsia" w:ascii="宋体" w:hAnsi="宋体" w:eastAsia="宋体" w:cs="宋体"/>
        </w:rPr>
        <w:t>2.</w:t>
      </w:r>
      <w:r>
        <w:rPr>
          <w:rStyle w:val="13"/>
          <w:rFonts w:hint="eastAsia" w:ascii="宋体" w:hAnsi="宋体" w:eastAsia="宋体" w:cs="宋体"/>
          <w:lang w:eastAsia="zh-CN"/>
        </w:rPr>
        <w:t>定期</w:t>
      </w:r>
      <w:r>
        <w:rPr>
          <w:rStyle w:val="13"/>
          <w:rFonts w:hint="eastAsia" w:ascii="宋体" w:hAnsi="宋体" w:eastAsia="宋体" w:cs="宋体"/>
        </w:rPr>
        <w:t>现场巡检工作</w:t>
      </w:r>
    </w:p>
    <w:p w14:paraId="723E791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pPr>
      <w:r>
        <w:rPr>
          <w:rFonts w:hint="eastAsia" w:ascii="宋体" w:hAnsi="宋体" w:eastAsia="宋体" w:cs="宋体"/>
          <w:sz w:val="24"/>
          <w:szCs w:val="24"/>
        </w:rPr>
        <w:t>2.1</w:t>
      </w:r>
      <w:r>
        <w:rPr>
          <w:rFonts w:hint="eastAsia" w:ascii="宋体" w:hAnsi="宋体" w:eastAsia="宋体" w:cs="宋体"/>
          <w:sz w:val="24"/>
          <w:szCs w:val="24"/>
          <w:lang w:eastAsia="zh-CN"/>
        </w:rPr>
        <w:t>定期</w:t>
      </w:r>
      <w:r>
        <w:rPr>
          <w:rFonts w:hint="eastAsia" w:ascii="宋体" w:hAnsi="宋体" w:eastAsia="宋体" w:cs="宋体"/>
          <w:sz w:val="24"/>
          <w:szCs w:val="24"/>
        </w:rPr>
        <w:t>现场巡检要求</w:t>
      </w:r>
    </w:p>
    <w:p w14:paraId="45AE253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lang w:eastAsia="zh-CN"/>
        </w:rPr>
      </w:pPr>
      <w:r>
        <w:rPr>
          <w:rFonts w:hint="eastAsia" w:ascii="宋体" w:hAnsi="宋体" w:eastAsia="宋体" w:cs="宋体"/>
          <w:sz w:val="24"/>
          <w:szCs w:val="24"/>
        </w:rPr>
        <w:t>（1）运维服务期内每</w:t>
      </w:r>
      <w:r>
        <w:rPr>
          <w:rFonts w:hint="eastAsia" w:ascii="宋体" w:hAnsi="宋体" w:eastAsia="宋体" w:cs="宋体"/>
          <w:sz w:val="24"/>
          <w:szCs w:val="24"/>
          <w:lang w:eastAsia="zh-CN"/>
        </w:rPr>
        <w:t>三个月</w:t>
      </w:r>
      <w:r>
        <w:rPr>
          <w:rFonts w:hint="eastAsia" w:ascii="宋体" w:hAnsi="宋体" w:eastAsia="宋体" w:cs="宋体"/>
          <w:sz w:val="24"/>
          <w:szCs w:val="24"/>
        </w:rPr>
        <w:t>至少1次负责按照巡检的规范要求完成无线电</w:t>
      </w:r>
      <w:r>
        <w:rPr>
          <w:rFonts w:hint="eastAsia" w:ascii="宋体" w:hAnsi="宋体" w:eastAsia="宋体" w:cs="宋体"/>
          <w:sz w:val="24"/>
          <w:szCs w:val="24"/>
          <w:lang w:eastAsia="zh-CN"/>
        </w:rPr>
        <w:t>技术</w:t>
      </w:r>
      <w:r>
        <w:rPr>
          <w:rFonts w:hint="eastAsia" w:ascii="宋体" w:hAnsi="宋体" w:eastAsia="宋体" w:cs="宋体"/>
          <w:sz w:val="24"/>
          <w:szCs w:val="24"/>
        </w:rPr>
        <w:t>设施</w:t>
      </w:r>
      <w:r>
        <w:rPr>
          <w:rFonts w:hint="eastAsia" w:ascii="宋体" w:hAnsi="宋体" w:eastAsia="宋体" w:cs="宋体"/>
          <w:sz w:val="24"/>
          <w:szCs w:val="24"/>
          <w:lang w:eastAsia="zh-CN"/>
        </w:rPr>
        <w:t>定期</w:t>
      </w:r>
      <w:r>
        <w:rPr>
          <w:rFonts w:hint="eastAsia" w:ascii="宋体" w:hAnsi="宋体" w:eastAsia="宋体" w:cs="宋体"/>
          <w:sz w:val="24"/>
          <w:szCs w:val="24"/>
        </w:rPr>
        <w:t>现场巡检；</w:t>
      </w:r>
      <w:r>
        <w:rPr>
          <w:rFonts w:hint="eastAsia" w:ascii="宋体" w:hAnsi="宋体" w:eastAsia="宋体" w:cs="宋体"/>
          <w:sz w:val="24"/>
          <w:szCs w:val="24"/>
          <w:highlight w:val="yellow"/>
          <w:lang w:eastAsia="zh-CN"/>
        </w:rPr>
        <w:t>其中</w:t>
      </w:r>
      <w:r>
        <w:rPr>
          <w:rFonts w:hint="eastAsia" w:ascii="宋体"/>
          <w:sz w:val="24"/>
          <w:szCs w:val="24"/>
          <w:highlight w:val="yellow"/>
          <w:lang w:eastAsia="zh-CN"/>
        </w:rPr>
        <w:t>平潭固定站、东山固定站、南日固定站因仍在质保期内，定期巡检周期改为每半年一次。</w:t>
      </w:r>
    </w:p>
    <w:p w14:paraId="6404EA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）实施巡检前应编制巡检计划、规范巡检程序并向省无线电监测站平潭直属分站报备，巡检内容应满足国家和省有关监测设施巡检规范和要求；</w:t>
      </w:r>
    </w:p>
    <w:p w14:paraId="5BA1138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）每次现场巡检需对机房环境、设备运行、铁塔天馈、配电防雷、空调运行、消防安防等全要素进行巡查；</w:t>
      </w:r>
    </w:p>
    <w:p w14:paraId="38160C2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）保持机房环境整洁，设施完好，故障及时响应处置，并做好监测设施巡检记录；</w:t>
      </w:r>
    </w:p>
    <w:p w14:paraId="1DDFAC9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）每</w:t>
      </w:r>
      <w:r>
        <w:rPr>
          <w:rFonts w:hint="eastAsia" w:ascii="宋体" w:hAnsi="宋体" w:eastAsia="宋体" w:cs="宋体"/>
          <w:sz w:val="24"/>
          <w:szCs w:val="24"/>
          <w:lang w:eastAsia="zh-CN"/>
        </w:rPr>
        <w:t>个服务周期（三个月）结束后</w:t>
      </w:r>
      <w:r>
        <w:rPr>
          <w:rFonts w:hint="eastAsia" w:ascii="宋体" w:hAnsi="宋体" w:eastAsia="宋体" w:cs="宋体"/>
          <w:sz w:val="24"/>
          <w:szCs w:val="24"/>
        </w:rPr>
        <w:t>15日内提供一份满足要求的巡检报告。</w:t>
      </w:r>
    </w:p>
    <w:p w14:paraId="141351E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pPr>
      <w:r>
        <w:rPr>
          <w:rFonts w:hint="eastAsia" w:ascii="宋体" w:hAnsi="宋体" w:eastAsia="宋体" w:cs="宋体"/>
          <w:sz w:val="24"/>
          <w:szCs w:val="24"/>
        </w:rPr>
        <w:t>2.2</w:t>
      </w:r>
      <w:r>
        <w:rPr>
          <w:rFonts w:hint="eastAsia" w:ascii="宋体" w:hAnsi="宋体" w:eastAsia="宋体" w:cs="宋体"/>
          <w:sz w:val="24"/>
          <w:szCs w:val="24"/>
          <w:lang w:eastAsia="zh-CN"/>
        </w:rPr>
        <w:t>定期</w:t>
      </w:r>
      <w:r>
        <w:rPr>
          <w:rFonts w:hint="eastAsia" w:ascii="宋体" w:hAnsi="宋体" w:eastAsia="宋体" w:cs="宋体"/>
          <w:sz w:val="24"/>
          <w:szCs w:val="24"/>
        </w:rPr>
        <w:t>现场巡检内容</w:t>
      </w:r>
    </w:p>
    <w:p w14:paraId="3030A5E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pPr>
      <w:r>
        <w:rPr>
          <w:rFonts w:hint="eastAsia" w:ascii="宋体" w:hAnsi="宋体" w:eastAsia="宋体" w:cs="宋体"/>
          <w:sz w:val="24"/>
          <w:szCs w:val="24"/>
        </w:rPr>
        <w:t>（1）无线电固定监测站</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38"/>
        <w:gridCol w:w="1266"/>
        <w:gridCol w:w="2381"/>
        <w:gridCol w:w="4028"/>
      </w:tblGrid>
      <w:tr w14:paraId="737D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tcBorders>
              <w:tl2br w:val="nil"/>
              <w:tr2bl w:val="nil"/>
            </w:tcBorders>
            <w:shd w:val="clear" w:color="auto" w:fill="FFFFFF"/>
            <w:vAlign w:val="center"/>
          </w:tcPr>
          <w:p w14:paraId="7216976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序号</w:t>
            </w:r>
          </w:p>
        </w:tc>
        <w:tc>
          <w:tcPr>
            <w:tcW w:w="761" w:type="pct"/>
            <w:tcBorders>
              <w:tl2br w:val="nil"/>
              <w:tr2bl w:val="nil"/>
            </w:tcBorders>
            <w:shd w:val="clear" w:color="auto" w:fill="FFFFFF"/>
            <w:vAlign w:val="center"/>
          </w:tcPr>
          <w:p w14:paraId="2257E1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巡检设备</w:t>
            </w:r>
          </w:p>
        </w:tc>
        <w:tc>
          <w:tcPr>
            <w:tcW w:w="1431" w:type="pct"/>
            <w:tcBorders>
              <w:tl2br w:val="nil"/>
              <w:tr2bl w:val="nil"/>
            </w:tcBorders>
            <w:shd w:val="clear" w:color="auto" w:fill="FFFFFF"/>
            <w:vAlign w:val="center"/>
          </w:tcPr>
          <w:p w14:paraId="044AD15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巡检项目</w:t>
            </w:r>
          </w:p>
        </w:tc>
        <w:tc>
          <w:tcPr>
            <w:tcW w:w="2421" w:type="pct"/>
            <w:tcBorders>
              <w:tl2br w:val="nil"/>
              <w:tr2bl w:val="nil"/>
            </w:tcBorders>
            <w:shd w:val="clear" w:color="auto" w:fill="FFFFFF"/>
            <w:vAlign w:val="center"/>
          </w:tcPr>
          <w:p w14:paraId="7C97DF6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巡检要求</w:t>
            </w:r>
          </w:p>
        </w:tc>
      </w:tr>
      <w:tr w14:paraId="1C72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E8EFCE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w:t>
            </w:r>
          </w:p>
        </w:tc>
        <w:tc>
          <w:tcPr>
            <w:tcW w:w="761" w:type="pct"/>
            <w:vMerge w:val="restart"/>
            <w:tcBorders>
              <w:tl2br w:val="nil"/>
              <w:tr2bl w:val="nil"/>
            </w:tcBorders>
            <w:shd w:val="clear" w:color="auto" w:fill="FFFFFF"/>
            <w:vAlign w:val="center"/>
          </w:tcPr>
          <w:p w14:paraId="493BDCB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天馈系统</w:t>
            </w:r>
          </w:p>
        </w:tc>
        <w:tc>
          <w:tcPr>
            <w:tcW w:w="1431" w:type="pct"/>
            <w:tcBorders>
              <w:tl2br w:val="nil"/>
              <w:tr2bl w:val="nil"/>
            </w:tcBorders>
            <w:shd w:val="clear" w:color="auto" w:fill="FFFFFF"/>
            <w:vAlign w:val="center"/>
          </w:tcPr>
          <w:p w14:paraId="2570640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监测通路驻波比检查</w:t>
            </w:r>
          </w:p>
        </w:tc>
        <w:tc>
          <w:tcPr>
            <w:tcW w:w="2421" w:type="pct"/>
            <w:vMerge w:val="restart"/>
            <w:tcBorders>
              <w:tl2br w:val="nil"/>
              <w:tr2bl w:val="nil"/>
            </w:tcBorders>
            <w:shd w:val="clear" w:color="auto" w:fill="FFFFFF"/>
            <w:vAlign w:val="center"/>
          </w:tcPr>
          <w:p w14:paraId="2B02A38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检查监测天线在其工作范围的工作状态，确保能够实时准确的捕捉到天线所处空间的电波信号。</w:t>
            </w:r>
          </w:p>
        </w:tc>
      </w:tr>
      <w:tr w14:paraId="2DCD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1A21710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761" w:type="pct"/>
            <w:vMerge w:val="continue"/>
            <w:tcBorders>
              <w:tl2br w:val="nil"/>
              <w:tr2bl w:val="nil"/>
            </w:tcBorders>
            <w:shd w:val="clear" w:color="auto" w:fill="FFFFFF"/>
            <w:vAlign w:val="center"/>
          </w:tcPr>
          <w:p w14:paraId="1F641A9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1431" w:type="pct"/>
            <w:tcBorders>
              <w:tl2br w:val="nil"/>
              <w:tr2bl w:val="nil"/>
            </w:tcBorders>
            <w:shd w:val="clear" w:color="auto" w:fill="FFFFFF"/>
            <w:vAlign w:val="center"/>
          </w:tcPr>
          <w:p w14:paraId="76414AF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监测功能</w:t>
            </w:r>
          </w:p>
        </w:tc>
        <w:tc>
          <w:tcPr>
            <w:tcW w:w="2421" w:type="pct"/>
            <w:vMerge w:val="continue"/>
            <w:tcBorders>
              <w:tl2br w:val="nil"/>
              <w:tr2bl w:val="nil"/>
            </w:tcBorders>
            <w:shd w:val="clear" w:color="auto" w:fill="FFFFFF"/>
            <w:vAlign w:val="center"/>
          </w:tcPr>
          <w:p w14:paraId="411986D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p>
        </w:tc>
      </w:tr>
      <w:tr w14:paraId="61DF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6C684C8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761" w:type="pct"/>
            <w:vMerge w:val="continue"/>
            <w:tcBorders>
              <w:tl2br w:val="nil"/>
              <w:tr2bl w:val="nil"/>
            </w:tcBorders>
            <w:shd w:val="clear" w:color="auto" w:fill="FFFFFF"/>
            <w:vAlign w:val="center"/>
          </w:tcPr>
          <w:p w14:paraId="49D310E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1431" w:type="pct"/>
            <w:tcBorders>
              <w:tl2br w:val="nil"/>
              <w:tr2bl w:val="nil"/>
            </w:tcBorders>
            <w:shd w:val="clear" w:color="auto" w:fill="FFFFFF"/>
            <w:vAlign w:val="center"/>
          </w:tcPr>
          <w:p w14:paraId="516FED3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天线阵单元检查</w:t>
            </w:r>
          </w:p>
        </w:tc>
        <w:tc>
          <w:tcPr>
            <w:tcW w:w="2421" w:type="pct"/>
            <w:tcBorders>
              <w:tl2br w:val="nil"/>
              <w:tr2bl w:val="nil"/>
            </w:tcBorders>
            <w:shd w:val="clear" w:color="auto" w:fill="FFFFFF"/>
            <w:vAlign w:val="center"/>
          </w:tcPr>
          <w:p w14:paraId="6805219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检查测向天线各阵子工作是否正常。</w:t>
            </w:r>
          </w:p>
        </w:tc>
      </w:tr>
      <w:tr w14:paraId="5BD5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5B3880A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56E4E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7F4EDE0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天线外观检查</w:t>
            </w:r>
          </w:p>
        </w:tc>
        <w:tc>
          <w:tcPr>
            <w:tcW w:w="2421" w:type="pct"/>
            <w:tcBorders>
              <w:tl2br w:val="nil"/>
              <w:tr2bl w:val="nil"/>
            </w:tcBorders>
            <w:shd w:val="clear" w:color="auto" w:fill="FFFFFF"/>
            <w:vAlign w:val="center"/>
          </w:tcPr>
          <w:p w14:paraId="0F1530D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检查天线自身，确保天线外部无损伤。</w:t>
            </w:r>
          </w:p>
        </w:tc>
      </w:tr>
      <w:tr w14:paraId="3481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58C22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CE36E8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35888D4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天线及天线支臂固定情况检查</w:t>
            </w:r>
          </w:p>
        </w:tc>
        <w:tc>
          <w:tcPr>
            <w:tcW w:w="2421" w:type="pct"/>
            <w:tcBorders>
              <w:tl2br w:val="nil"/>
              <w:tr2bl w:val="nil"/>
            </w:tcBorders>
            <w:shd w:val="clear" w:color="auto" w:fill="FFFFFF"/>
            <w:vAlign w:val="center"/>
          </w:tcPr>
          <w:p w14:paraId="3F1E8D7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检查天线固定情况，查看天线和天线支臂是否存在松动。查看固定天线的螺丝是否存在氧化情况。</w:t>
            </w:r>
          </w:p>
        </w:tc>
      </w:tr>
      <w:tr w14:paraId="727A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186C6D2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50103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90446B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馈线、控制线接头检查</w:t>
            </w:r>
          </w:p>
        </w:tc>
        <w:tc>
          <w:tcPr>
            <w:tcW w:w="2421" w:type="pct"/>
            <w:vMerge w:val="restart"/>
            <w:tcBorders>
              <w:tl2br w:val="nil"/>
              <w:tr2bl w:val="nil"/>
            </w:tcBorders>
            <w:shd w:val="clear" w:color="auto" w:fill="FFFFFF"/>
            <w:vAlign w:val="center"/>
          </w:tcPr>
          <w:p w14:paraId="04BFFDB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检查馈线、控制线接头是否存在裸露或氧化情况。及时有效的做好防水处理。</w:t>
            </w:r>
          </w:p>
        </w:tc>
      </w:tr>
      <w:tr w14:paraId="7153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0C24FB2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23EB4A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D215C9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防水情况检查</w:t>
            </w:r>
          </w:p>
        </w:tc>
        <w:tc>
          <w:tcPr>
            <w:tcW w:w="2421" w:type="pct"/>
            <w:vMerge w:val="continue"/>
            <w:tcBorders>
              <w:tl2br w:val="nil"/>
              <w:tr2bl w:val="nil"/>
            </w:tcBorders>
            <w:shd w:val="clear" w:color="auto" w:fill="FFFFFF"/>
            <w:vAlign w:val="center"/>
          </w:tcPr>
          <w:p w14:paraId="4A7AFC2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0668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restart"/>
            <w:tcBorders>
              <w:tl2br w:val="nil"/>
              <w:tr2bl w:val="nil"/>
            </w:tcBorders>
            <w:shd w:val="clear" w:color="auto" w:fill="FFFFFF"/>
            <w:vAlign w:val="center"/>
          </w:tcPr>
          <w:p w14:paraId="0797071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2</w:t>
            </w:r>
          </w:p>
        </w:tc>
        <w:tc>
          <w:tcPr>
            <w:tcW w:w="761" w:type="pct"/>
            <w:vMerge w:val="restart"/>
            <w:tcBorders>
              <w:tl2br w:val="nil"/>
              <w:tr2bl w:val="nil"/>
            </w:tcBorders>
            <w:shd w:val="clear" w:color="auto" w:fill="FFFFFF"/>
            <w:vAlign w:val="center"/>
          </w:tcPr>
          <w:p w14:paraId="65A12A2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监测系统</w:t>
            </w:r>
          </w:p>
        </w:tc>
        <w:tc>
          <w:tcPr>
            <w:tcW w:w="1431" w:type="pct"/>
            <w:tcBorders>
              <w:tl2br w:val="nil"/>
              <w:tr2bl w:val="nil"/>
            </w:tcBorders>
            <w:shd w:val="clear" w:color="auto" w:fill="FFFFFF"/>
            <w:vAlign w:val="center"/>
          </w:tcPr>
          <w:p w14:paraId="390FE18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频率准确度</w:t>
            </w:r>
          </w:p>
        </w:tc>
        <w:tc>
          <w:tcPr>
            <w:tcW w:w="2421" w:type="pct"/>
            <w:vMerge w:val="restart"/>
            <w:tcBorders>
              <w:tl2br w:val="nil"/>
              <w:tr2bl w:val="nil"/>
            </w:tcBorders>
            <w:shd w:val="clear" w:color="auto" w:fill="FFFFFF"/>
            <w:vAlign w:val="center"/>
          </w:tcPr>
          <w:p w14:paraId="2F6CDB9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r>
              <w:rPr>
                <w:rFonts w:hint="eastAsia" w:ascii="宋体" w:hAnsi="宋体" w:eastAsia="宋体" w:cs="宋体"/>
                <w:sz w:val="24"/>
                <w:szCs w:val="24"/>
              </w:rPr>
              <w:t>检查设备测量接收精度在设备的工作范围内，确保其工作正常。</w:t>
            </w:r>
          </w:p>
        </w:tc>
      </w:tr>
      <w:tr w14:paraId="561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746C278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14:paraId="788D9F0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14:paraId="2391F75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扫描速度</w:t>
            </w:r>
          </w:p>
        </w:tc>
        <w:tc>
          <w:tcPr>
            <w:tcW w:w="2421" w:type="pct"/>
            <w:vMerge w:val="continue"/>
            <w:tcBorders>
              <w:tl2br w:val="nil"/>
              <w:tr2bl w:val="nil"/>
            </w:tcBorders>
            <w:shd w:val="clear" w:color="auto" w:fill="FFFFFF"/>
            <w:vAlign w:val="center"/>
          </w:tcPr>
          <w:p w14:paraId="0D9E01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7BC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4510F38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14:paraId="6DD2B12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14:paraId="484A527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电平测量误差</w:t>
            </w:r>
          </w:p>
        </w:tc>
        <w:tc>
          <w:tcPr>
            <w:tcW w:w="2421" w:type="pct"/>
            <w:vMerge w:val="continue"/>
            <w:tcBorders>
              <w:tl2br w:val="nil"/>
              <w:tr2bl w:val="nil"/>
            </w:tcBorders>
            <w:shd w:val="clear" w:color="auto" w:fill="FFFFFF"/>
            <w:vAlign w:val="center"/>
          </w:tcPr>
          <w:p w14:paraId="1052139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14F0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C8669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14:paraId="41EE144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14:paraId="61CF454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421" w:type="pct"/>
            <w:vMerge w:val="restart"/>
            <w:tcBorders>
              <w:tl2br w:val="nil"/>
              <w:tr2bl w:val="nil"/>
            </w:tcBorders>
            <w:shd w:val="clear" w:color="auto" w:fill="FFFFFF"/>
            <w:vAlign w:val="center"/>
          </w:tcPr>
          <w:p w14:paraId="754D847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14:paraId="1519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AE0DF4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F05A54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4F96DE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421" w:type="pct"/>
            <w:vMerge w:val="continue"/>
            <w:tcBorders>
              <w:tl2br w:val="nil"/>
              <w:tr2bl w:val="nil"/>
            </w:tcBorders>
            <w:shd w:val="clear" w:color="auto" w:fill="FFFFFF"/>
            <w:vAlign w:val="center"/>
          </w:tcPr>
          <w:p w14:paraId="3AF21D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65A5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948DF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FA2904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429D22B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421" w:type="pct"/>
            <w:vMerge w:val="continue"/>
            <w:tcBorders>
              <w:tl2br w:val="nil"/>
              <w:tr2bl w:val="nil"/>
            </w:tcBorders>
            <w:shd w:val="clear" w:color="auto" w:fill="FFFFFF"/>
            <w:vAlign w:val="center"/>
          </w:tcPr>
          <w:p w14:paraId="7311021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4F4C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65A236A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087D57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37A1B83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421" w:type="pct"/>
            <w:vMerge w:val="continue"/>
            <w:tcBorders>
              <w:tl2br w:val="nil"/>
              <w:tr2bl w:val="nil"/>
            </w:tcBorders>
            <w:shd w:val="clear" w:color="auto" w:fill="FFFFFF"/>
            <w:vAlign w:val="center"/>
          </w:tcPr>
          <w:p w14:paraId="48447A4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B87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663106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746A67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31380E9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接收机自检</w:t>
            </w:r>
          </w:p>
        </w:tc>
        <w:tc>
          <w:tcPr>
            <w:tcW w:w="2421" w:type="pct"/>
            <w:vMerge w:val="continue"/>
            <w:tcBorders>
              <w:tl2br w:val="nil"/>
              <w:tr2bl w:val="nil"/>
            </w:tcBorders>
            <w:shd w:val="clear" w:color="auto" w:fill="FFFFFF"/>
            <w:vAlign w:val="center"/>
          </w:tcPr>
          <w:p w14:paraId="7056F45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0BB9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4C9299D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CE88D0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DF082D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421" w:type="pct"/>
            <w:tcBorders>
              <w:tl2br w:val="nil"/>
              <w:tr2bl w:val="nil"/>
            </w:tcBorders>
            <w:shd w:val="clear" w:color="auto" w:fill="FFFFFF"/>
            <w:vAlign w:val="center"/>
          </w:tcPr>
          <w:p w14:paraId="34FB047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14:paraId="6E03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897DA9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430279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4A233B5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w:t>
            </w:r>
          </w:p>
        </w:tc>
        <w:tc>
          <w:tcPr>
            <w:tcW w:w="2421" w:type="pct"/>
            <w:vMerge w:val="restart"/>
            <w:tcBorders>
              <w:tl2br w:val="nil"/>
              <w:tr2bl w:val="nil"/>
            </w:tcBorders>
            <w:shd w:val="clear" w:color="auto" w:fill="FFFFFF"/>
            <w:vAlign w:val="center"/>
          </w:tcPr>
          <w:p w14:paraId="68B252E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检查设备通过软件的控制过程，是否存在软件无法进行数据响应交换。</w:t>
            </w:r>
          </w:p>
        </w:tc>
      </w:tr>
      <w:tr w14:paraId="50DA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B9939D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462CAB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280CF1C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频段扫描</w:t>
            </w:r>
          </w:p>
        </w:tc>
        <w:tc>
          <w:tcPr>
            <w:tcW w:w="2421" w:type="pct"/>
            <w:vMerge w:val="continue"/>
            <w:tcBorders>
              <w:tl2br w:val="nil"/>
              <w:tr2bl w:val="nil"/>
            </w:tcBorders>
            <w:shd w:val="clear" w:color="auto" w:fill="FFFFFF"/>
            <w:vAlign w:val="center"/>
          </w:tcPr>
          <w:p w14:paraId="0B847CF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BD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8D2D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D7186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8D4A47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离散扫描</w:t>
            </w:r>
          </w:p>
        </w:tc>
        <w:tc>
          <w:tcPr>
            <w:tcW w:w="2421" w:type="pct"/>
            <w:vMerge w:val="continue"/>
            <w:tcBorders>
              <w:tl2br w:val="nil"/>
              <w:tr2bl w:val="nil"/>
            </w:tcBorders>
            <w:shd w:val="clear" w:color="auto" w:fill="FFFFFF"/>
            <w:vAlign w:val="center"/>
          </w:tcPr>
          <w:p w14:paraId="0BE42AC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1DF5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D5BF9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395974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E4F024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421" w:type="pct"/>
            <w:tcBorders>
              <w:tl2br w:val="nil"/>
              <w:tr2bl w:val="nil"/>
            </w:tcBorders>
            <w:shd w:val="clear" w:color="auto" w:fill="FFFFFF"/>
            <w:vAlign w:val="center"/>
          </w:tcPr>
          <w:p w14:paraId="15C11F8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w:t>
            </w:r>
          </w:p>
        </w:tc>
      </w:tr>
      <w:tr w14:paraId="61BD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2FB82F6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3</w:t>
            </w:r>
          </w:p>
        </w:tc>
        <w:tc>
          <w:tcPr>
            <w:tcW w:w="761" w:type="pct"/>
            <w:vMerge w:val="restart"/>
            <w:tcBorders>
              <w:tl2br w:val="nil"/>
              <w:tr2bl w:val="nil"/>
            </w:tcBorders>
            <w:shd w:val="clear" w:color="auto" w:fill="FFFFFF"/>
            <w:vAlign w:val="center"/>
          </w:tcPr>
          <w:p w14:paraId="0C5EA3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测向系统</w:t>
            </w:r>
          </w:p>
        </w:tc>
        <w:tc>
          <w:tcPr>
            <w:tcW w:w="1431" w:type="pct"/>
            <w:tcBorders>
              <w:tl2br w:val="nil"/>
              <w:tr2bl w:val="nil"/>
            </w:tcBorders>
            <w:shd w:val="clear" w:color="auto" w:fill="FFFFFF"/>
            <w:vAlign w:val="center"/>
          </w:tcPr>
          <w:p w14:paraId="7A92BC6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测向精度</w:t>
            </w:r>
          </w:p>
        </w:tc>
        <w:tc>
          <w:tcPr>
            <w:tcW w:w="2421" w:type="pct"/>
            <w:tcBorders>
              <w:tl2br w:val="nil"/>
              <w:tr2bl w:val="nil"/>
            </w:tcBorders>
            <w:shd w:val="clear" w:color="auto" w:fill="FFFFFF"/>
            <w:vAlign w:val="center"/>
          </w:tcPr>
          <w:p w14:paraId="6E0E835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14:paraId="67FE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17D827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14:paraId="0008BBC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14:paraId="7E9880F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信标台站测试</w:t>
            </w:r>
          </w:p>
        </w:tc>
        <w:tc>
          <w:tcPr>
            <w:tcW w:w="2421" w:type="pct"/>
            <w:tcBorders>
              <w:tl2br w:val="nil"/>
              <w:tr2bl w:val="nil"/>
            </w:tcBorders>
            <w:shd w:val="clear" w:color="auto" w:fill="FFFFFF"/>
            <w:vAlign w:val="center"/>
          </w:tcPr>
          <w:p w14:paraId="65C31AD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检查测向机的测向等功能是否正常且测向准确。</w:t>
            </w:r>
          </w:p>
        </w:tc>
      </w:tr>
      <w:tr w14:paraId="40DE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72FF3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F974A0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4E54BE1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421" w:type="pct"/>
            <w:vMerge w:val="restart"/>
            <w:tcBorders>
              <w:tl2br w:val="nil"/>
              <w:tr2bl w:val="nil"/>
            </w:tcBorders>
            <w:shd w:val="clear" w:color="auto" w:fill="FFFFFF"/>
            <w:vAlign w:val="center"/>
          </w:tcPr>
          <w:p w14:paraId="41B7729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14:paraId="5375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3CD48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6E4B9F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A289F7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421" w:type="pct"/>
            <w:vMerge w:val="continue"/>
            <w:tcBorders>
              <w:tl2br w:val="nil"/>
              <w:tr2bl w:val="nil"/>
            </w:tcBorders>
            <w:shd w:val="clear" w:color="auto" w:fill="FFFFFF"/>
            <w:vAlign w:val="center"/>
          </w:tcPr>
          <w:p w14:paraId="550F504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C09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502AD2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DAEF70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3B99744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421" w:type="pct"/>
            <w:vMerge w:val="continue"/>
            <w:tcBorders>
              <w:tl2br w:val="nil"/>
              <w:tr2bl w:val="nil"/>
            </w:tcBorders>
            <w:shd w:val="clear" w:color="auto" w:fill="FFFFFF"/>
            <w:vAlign w:val="center"/>
          </w:tcPr>
          <w:p w14:paraId="54F3100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516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0D1AB4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3373FC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0240B6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421" w:type="pct"/>
            <w:vMerge w:val="continue"/>
            <w:tcBorders>
              <w:tl2br w:val="nil"/>
              <w:tr2bl w:val="nil"/>
            </w:tcBorders>
            <w:shd w:val="clear" w:color="auto" w:fill="FFFFFF"/>
            <w:vAlign w:val="center"/>
          </w:tcPr>
          <w:p w14:paraId="25D25E7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4D7A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BCAA99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975286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377E47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测向机自检</w:t>
            </w:r>
          </w:p>
        </w:tc>
        <w:tc>
          <w:tcPr>
            <w:tcW w:w="2421" w:type="pct"/>
            <w:vMerge w:val="continue"/>
            <w:tcBorders>
              <w:tl2br w:val="nil"/>
              <w:tr2bl w:val="nil"/>
            </w:tcBorders>
            <w:shd w:val="clear" w:color="auto" w:fill="FFFFFF"/>
            <w:vAlign w:val="center"/>
          </w:tcPr>
          <w:p w14:paraId="22E1081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486D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331E4D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4DE0A0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774BD8F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421" w:type="pct"/>
            <w:tcBorders>
              <w:tl2br w:val="nil"/>
              <w:tr2bl w:val="nil"/>
            </w:tcBorders>
            <w:shd w:val="clear" w:color="auto" w:fill="FFFFFF"/>
            <w:vAlign w:val="center"/>
          </w:tcPr>
          <w:p w14:paraId="2E9D9FC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14:paraId="755B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101D6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FB7F7F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20BDC49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421" w:type="pct"/>
            <w:tcBorders>
              <w:tl2br w:val="nil"/>
              <w:tr2bl w:val="nil"/>
            </w:tcBorders>
            <w:shd w:val="clear" w:color="auto" w:fill="FFFFFF"/>
            <w:vAlign w:val="center"/>
          </w:tcPr>
          <w:p w14:paraId="500C4FC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14:paraId="65C0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4" w:type="pct"/>
            <w:vMerge w:val="restart"/>
            <w:tcBorders>
              <w:tl2br w:val="nil"/>
              <w:tr2bl w:val="nil"/>
            </w:tcBorders>
            <w:shd w:val="clear" w:color="auto" w:fill="FFFFFF"/>
            <w:vAlign w:val="center"/>
          </w:tcPr>
          <w:p w14:paraId="6EA529B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4</w:t>
            </w:r>
          </w:p>
        </w:tc>
        <w:tc>
          <w:tcPr>
            <w:tcW w:w="761" w:type="pct"/>
            <w:vMerge w:val="restart"/>
            <w:tcBorders>
              <w:tl2br w:val="nil"/>
              <w:tr2bl w:val="nil"/>
            </w:tcBorders>
            <w:shd w:val="clear" w:color="auto" w:fill="FFFFFF"/>
            <w:vAlign w:val="center"/>
          </w:tcPr>
          <w:p w14:paraId="0232647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监测测向软件</w:t>
            </w:r>
          </w:p>
        </w:tc>
        <w:tc>
          <w:tcPr>
            <w:tcW w:w="1431" w:type="pct"/>
            <w:vMerge w:val="restart"/>
            <w:tcBorders>
              <w:tl2br w:val="nil"/>
              <w:tr2bl w:val="nil"/>
            </w:tcBorders>
            <w:shd w:val="clear" w:color="auto" w:fill="FFFFFF"/>
            <w:vAlign w:val="center"/>
          </w:tcPr>
          <w:p w14:paraId="5DC2984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启动监测测向软件检查</w:t>
            </w:r>
          </w:p>
        </w:tc>
        <w:tc>
          <w:tcPr>
            <w:tcW w:w="2421" w:type="pct"/>
            <w:tcBorders>
              <w:tl2br w:val="nil"/>
              <w:tr2bl w:val="nil"/>
            </w:tcBorders>
            <w:shd w:val="clear" w:color="auto" w:fill="FFFFFF"/>
            <w:vAlign w:val="center"/>
          </w:tcPr>
          <w:p w14:paraId="757ED03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检查服务端初始化是否正常，有无报错信息。</w:t>
            </w:r>
          </w:p>
        </w:tc>
      </w:tr>
      <w:tr w14:paraId="1356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090FB1C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34753E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4EBC67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3E067D9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检查服务端的设备、天线及网络配置检查。</w:t>
            </w:r>
          </w:p>
        </w:tc>
      </w:tr>
      <w:tr w14:paraId="6DE3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83C574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1EA20B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D809A9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4986E73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检查测试程序、系统软件控制等是否正常。</w:t>
            </w:r>
          </w:p>
        </w:tc>
      </w:tr>
      <w:tr w14:paraId="3E97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7EAD9C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75672C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34EDE4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14FD214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检查客户端是否正常连接，配置信息是否正确。</w:t>
            </w:r>
          </w:p>
        </w:tc>
      </w:tr>
      <w:tr w14:paraId="6F84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FD9703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ABA138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4CBDBD9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信号扫描检查</w:t>
            </w:r>
          </w:p>
        </w:tc>
        <w:tc>
          <w:tcPr>
            <w:tcW w:w="2421" w:type="pct"/>
            <w:tcBorders>
              <w:tl2br w:val="nil"/>
              <w:tr2bl w:val="nil"/>
            </w:tcBorders>
            <w:shd w:val="clear" w:color="auto" w:fill="FFFFFF"/>
            <w:vAlign w:val="center"/>
          </w:tcPr>
          <w:p w14:paraId="59B56E1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检查天线频段扫描功能是否正常，扫描信号电平是否正常。</w:t>
            </w:r>
          </w:p>
        </w:tc>
      </w:tr>
      <w:tr w14:paraId="0BF4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01DD20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D4BAEF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2DF353F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3A7D42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检查多段扫描功能是否正常。</w:t>
            </w:r>
          </w:p>
        </w:tc>
      </w:tr>
      <w:tr w14:paraId="08F3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0E66BBD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50ED35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C6C7F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2AB570A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检查FSCAN、PSCAN、MSCAN扫描功能是否正常。</w:t>
            </w:r>
          </w:p>
        </w:tc>
      </w:tr>
      <w:tr w14:paraId="2287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6CB0D76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68A0A2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0A5E910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单频测量检查</w:t>
            </w:r>
          </w:p>
        </w:tc>
        <w:tc>
          <w:tcPr>
            <w:tcW w:w="2421" w:type="pct"/>
            <w:tcBorders>
              <w:tl2br w:val="nil"/>
              <w:tr2bl w:val="nil"/>
            </w:tcBorders>
            <w:shd w:val="clear" w:color="auto" w:fill="FFFFFF"/>
            <w:vAlign w:val="center"/>
          </w:tcPr>
          <w:p w14:paraId="5FC5E09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对频率、滤波带宽、频谱带宽等各参数进行设置，并测量，检查测量结果是否正常。</w:t>
            </w:r>
          </w:p>
        </w:tc>
      </w:tr>
      <w:tr w14:paraId="48D0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5EEEB74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DF3A1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0961B9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432DE14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检查声音解调是否正常。</w:t>
            </w:r>
          </w:p>
        </w:tc>
      </w:tr>
      <w:tr w14:paraId="1F14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38C6573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B42F4C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7EBC4A3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示向度测量检查</w:t>
            </w:r>
          </w:p>
        </w:tc>
        <w:tc>
          <w:tcPr>
            <w:tcW w:w="2421" w:type="pct"/>
            <w:tcBorders>
              <w:tl2br w:val="nil"/>
              <w:tr2bl w:val="nil"/>
            </w:tcBorders>
            <w:shd w:val="clear" w:color="auto" w:fill="FFFFFF"/>
            <w:vAlign w:val="center"/>
          </w:tcPr>
          <w:p w14:paraId="66E2CD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设置不同频率、参数进行示向度测量，并检查测量结果是否正常。</w:t>
            </w:r>
          </w:p>
        </w:tc>
      </w:tr>
      <w:tr w14:paraId="775C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4316AF9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41EA2D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0CADF97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264CFA7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结合电子地图进行示向度测量显示。（若有）</w:t>
            </w:r>
          </w:p>
        </w:tc>
      </w:tr>
      <w:tr w14:paraId="16E8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6D8EA36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470CB0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53CAFEE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电子地图检查（若有）</w:t>
            </w:r>
          </w:p>
        </w:tc>
        <w:tc>
          <w:tcPr>
            <w:tcW w:w="2421" w:type="pct"/>
            <w:tcBorders>
              <w:tl2br w:val="nil"/>
              <w:tr2bl w:val="nil"/>
            </w:tcBorders>
            <w:shd w:val="clear" w:color="auto" w:fill="FFFFFF"/>
            <w:vAlign w:val="center"/>
          </w:tcPr>
          <w:p w14:paraId="350D123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检查地图是否正确打开，台站图标是否定位正确。</w:t>
            </w:r>
          </w:p>
        </w:tc>
      </w:tr>
      <w:tr w14:paraId="6EE3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33FD485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377EB0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5425DA3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C5333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检查图层是否显示正确、地图工具按钮功能是否正常。</w:t>
            </w:r>
          </w:p>
        </w:tc>
      </w:tr>
      <w:tr w14:paraId="08D3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1C401CF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67D852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5AD81E2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w:t>
            </w:r>
          </w:p>
        </w:tc>
        <w:tc>
          <w:tcPr>
            <w:tcW w:w="2421" w:type="pct"/>
            <w:tcBorders>
              <w:tl2br w:val="nil"/>
              <w:tr2bl w:val="nil"/>
            </w:tcBorders>
            <w:shd w:val="clear" w:color="auto" w:fill="FFFFFF"/>
            <w:vAlign w:val="center"/>
          </w:tcPr>
          <w:p w14:paraId="7B57C19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14:paraId="780C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FE590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54A9D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8D0279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9382A6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14:paraId="7D1A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00D750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916406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FD5A4F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DAEEE6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14:paraId="4C8F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E68AED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5B64C8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35D0E5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324A0B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14:paraId="420B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F5DEE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5</w:t>
            </w:r>
          </w:p>
        </w:tc>
        <w:tc>
          <w:tcPr>
            <w:tcW w:w="761" w:type="pct"/>
            <w:vMerge w:val="restart"/>
            <w:tcBorders>
              <w:tl2br w:val="nil"/>
              <w:tr2bl w:val="nil"/>
            </w:tcBorders>
            <w:shd w:val="clear" w:color="auto" w:fill="FFFFFF"/>
            <w:vAlign w:val="center"/>
          </w:tcPr>
          <w:p w14:paraId="3CB9E68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控制系统</w:t>
            </w:r>
          </w:p>
        </w:tc>
        <w:tc>
          <w:tcPr>
            <w:tcW w:w="1431" w:type="pct"/>
            <w:tcBorders>
              <w:tl2br w:val="nil"/>
              <w:tr2bl w:val="nil"/>
            </w:tcBorders>
            <w:shd w:val="clear" w:color="auto" w:fill="FFFFFF"/>
            <w:vAlign w:val="center"/>
          </w:tcPr>
          <w:p w14:paraId="5C4F5A4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控制电脑硬件、操作系统检查</w:t>
            </w:r>
          </w:p>
        </w:tc>
        <w:tc>
          <w:tcPr>
            <w:tcW w:w="2421" w:type="pct"/>
            <w:tcBorders>
              <w:tl2br w:val="nil"/>
              <w:tr2bl w:val="nil"/>
            </w:tcBorders>
            <w:shd w:val="clear" w:color="auto" w:fill="FFFFFF"/>
            <w:vAlign w:val="center"/>
          </w:tcPr>
          <w:p w14:paraId="107AFED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控制电脑硬件、外观和操作系统正常。</w:t>
            </w:r>
          </w:p>
        </w:tc>
      </w:tr>
      <w:tr w14:paraId="6A41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1581EC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BCE2B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12685C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系统安全检查</w:t>
            </w:r>
          </w:p>
        </w:tc>
        <w:tc>
          <w:tcPr>
            <w:tcW w:w="2421" w:type="pct"/>
            <w:tcBorders>
              <w:tl2br w:val="nil"/>
              <w:tr2bl w:val="nil"/>
            </w:tcBorders>
            <w:shd w:val="clear" w:color="auto" w:fill="FFFFFF"/>
            <w:vAlign w:val="center"/>
          </w:tcPr>
          <w:p w14:paraId="73A1D36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对系统进行安全测试，对其存在的安全漏洞进行修补，防止病毒的侵入。</w:t>
            </w:r>
          </w:p>
        </w:tc>
      </w:tr>
      <w:tr w14:paraId="7126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A3FD2F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D6C31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7AE3AE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软件检查</w:t>
            </w:r>
          </w:p>
        </w:tc>
        <w:tc>
          <w:tcPr>
            <w:tcW w:w="2421" w:type="pct"/>
            <w:tcBorders>
              <w:tl2br w:val="nil"/>
              <w:tr2bl w:val="nil"/>
            </w:tcBorders>
            <w:shd w:val="clear" w:color="auto" w:fill="FFFFFF"/>
            <w:vAlign w:val="center"/>
          </w:tcPr>
          <w:p w14:paraId="7BEE027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确定控制系统内部软件工作是否正常，若异常及时对其进行故障判断解决。</w:t>
            </w:r>
          </w:p>
        </w:tc>
      </w:tr>
      <w:tr w14:paraId="4333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5EB4176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60262E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1716F0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系统备份检查</w:t>
            </w:r>
          </w:p>
        </w:tc>
        <w:tc>
          <w:tcPr>
            <w:tcW w:w="2421" w:type="pct"/>
            <w:tcBorders>
              <w:tl2br w:val="nil"/>
              <w:tr2bl w:val="nil"/>
            </w:tcBorders>
            <w:shd w:val="clear" w:color="auto" w:fill="FFFFFF"/>
            <w:vAlign w:val="center"/>
          </w:tcPr>
          <w:p w14:paraId="5ED6328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对系统进行备份，以便在发生灾难性故障时能够及时有效的恢复系统。</w:t>
            </w:r>
          </w:p>
        </w:tc>
      </w:tr>
      <w:tr w14:paraId="3566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08862FD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6</w:t>
            </w:r>
          </w:p>
        </w:tc>
        <w:tc>
          <w:tcPr>
            <w:tcW w:w="761" w:type="pct"/>
            <w:vMerge w:val="restart"/>
            <w:tcBorders>
              <w:tl2br w:val="nil"/>
              <w:tr2bl w:val="nil"/>
            </w:tcBorders>
            <w:shd w:val="clear" w:color="auto" w:fill="FFFFFF"/>
            <w:vAlign w:val="center"/>
          </w:tcPr>
          <w:p w14:paraId="2978E95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网络系统</w:t>
            </w:r>
          </w:p>
        </w:tc>
        <w:tc>
          <w:tcPr>
            <w:tcW w:w="1431" w:type="pct"/>
            <w:tcBorders>
              <w:tl2br w:val="nil"/>
              <w:tr2bl w:val="nil"/>
            </w:tcBorders>
            <w:shd w:val="clear" w:color="auto" w:fill="FFFFFF"/>
            <w:vAlign w:val="center"/>
          </w:tcPr>
          <w:p w14:paraId="709738C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路由器硬件检查</w:t>
            </w:r>
          </w:p>
        </w:tc>
        <w:tc>
          <w:tcPr>
            <w:tcW w:w="2421" w:type="pct"/>
            <w:tcBorders>
              <w:tl2br w:val="nil"/>
              <w:tr2bl w:val="nil"/>
            </w:tcBorders>
            <w:shd w:val="clear" w:color="auto" w:fill="FFFFFF"/>
            <w:vAlign w:val="center"/>
          </w:tcPr>
          <w:p w14:paraId="463DAA9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检查路由器硬件，根据具体的硬件环境确定其工作状态。</w:t>
            </w:r>
          </w:p>
        </w:tc>
      </w:tr>
      <w:tr w14:paraId="6EBA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4F1529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2224F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3254F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路由器连通性、安全性检查</w:t>
            </w:r>
          </w:p>
        </w:tc>
        <w:tc>
          <w:tcPr>
            <w:tcW w:w="2421" w:type="pct"/>
            <w:tcBorders>
              <w:tl2br w:val="nil"/>
              <w:tr2bl w:val="nil"/>
            </w:tcBorders>
            <w:shd w:val="clear" w:color="auto" w:fill="FFFFFF"/>
            <w:vAlign w:val="center"/>
          </w:tcPr>
          <w:p w14:paraId="4653D59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对路由器进行网络联通性和安全测试，发现并对所发现的安全漏洞进行处理。</w:t>
            </w:r>
          </w:p>
        </w:tc>
      </w:tr>
      <w:tr w14:paraId="70F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BF0C77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CEA4EB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211151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交换机硬件检查</w:t>
            </w:r>
          </w:p>
        </w:tc>
        <w:tc>
          <w:tcPr>
            <w:tcW w:w="2421" w:type="pct"/>
            <w:tcBorders>
              <w:tl2br w:val="nil"/>
              <w:tr2bl w:val="nil"/>
            </w:tcBorders>
            <w:shd w:val="clear" w:color="auto" w:fill="FFFFFF"/>
            <w:vAlign w:val="center"/>
          </w:tcPr>
          <w:p w14:paraId="557948B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对交换机进行硬件检查，确定其工作状态，及时发现并解决出现的硬件故障。</w:t>
            </w:r>
          </w:p>
        </w:tc>
      </w:tr>
      <w:tr w14:paraId="6B4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857458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0731C5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C2B3DC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交换机连通性检查</w:t>
            </w:r>
          </w:p>
        </w:tc>
        <w:tc>
          <w:tcPr>
            <w:tcW w:w="2421" w:type="pct"/>
            <w:tcBorders>
              <w:tl2br w:val="nil"/>
              <w:tr2bl w:val="nil"/>
            </w:tcBorders>
            <w:shd w:val="clear" w:color="auto" w:fill="FFFFFF"/>
            <w:vAlign w:val="center"/>
          </w:tcPr>
          <w:p w14:paraId="70A0731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对交换机进行数据包交换测试，确定其各端口数据交换的联通性。由计算机端向交换机及其他联网设备发送测试数据包20个，查看是否丢包，返回时间是否小于50ms。</w:t>
            </w:r>
          </w:p>
        </w:tc>
      </w:tr>
      <w:tr w14:paraId="0027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46CC30C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7</w:t>
            </w:r>
          </w:p>
        </w:tc>
        <w:tc>
          <w:tcPr>
            <w:tcW w:w="761" w:type="pct"/>
            <w:vMerge w:val="restart"/>
            <w:tcBorders>
              <w:tl2br w:val="nil"/>
              <w:tr2bl w:val="nil"/>
            </w:tcBorders>
            <w:shd w:val="clear" w:color="auto" w:fill="FFFFFF"/>
            <w:vAlign w:val="center"/>
          </w:tcPr>
          <w:p w14:paraId="792212D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电源系统</w:t>
            </w:r>
          </w:p>
        </w:tc>
        <w:tc>
          <w:tcPr>
            <w:tcW w:w="1431" w:type="pct"/>
            <w:tcBorders>
              <w:tl2br w:val="nil"/>
              <w:tr2bl w:val="nil"/>
            </w:tcBorders>
            <w:shd w:val="clear" w:color="auto" w:fill="FFFFFF"/>
            <w:vAlign w:val="center"/>
          </w:tcPr>
          <w:p w14:paraId="7E94CA6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稳压电源检查</w:t>
            </w:r>
          </w:p>
        </w:tc>
        <w:tc>
          <w:tcPr>
            <w:tcW w:w="2421" w:type="pct"/>
            <w:tcBorders>
              <w:tl2br w:val="nil"/>
              <w:tr2bl w:val="nil"/>
            </w:tcBorders>
            <w:shd w:val="clear" w:color="auto" w:fill="FFFFFF"/>
            <w:vAlign w:val="center"/>
          </w:tcPr>
          <w:p w14:paraId="6439E1A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稳压电源状态指示灯显示正确，输出电压稳定。</w:t>
            </w:r>
          </w:p>
        </w:tc>
      </w:tr>
      <w:tr w14:paraId="227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F3C0B3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8CBF5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71E0C7E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电池状态检查</w:t>
            </w:r>
          </w:p>
        </w:tc>
        <w:tc>
          <w:tcPr>
            <w:tcW w:w="2421" w:type="pct"/>
            <w:tcBorders>
              <w:tl2br w:val="nil"/>
              <w:tr2bl w:val="nil"/>
            </w:tcBorders>
            <w:shd w:val="clear" w:color="auto" w:fill="FFFFFF"/>
            <w:vAlign w:val="center"/>
          </w:tcPr>
          <w:p w14:paraId="5F04A57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蓄电池是否能正常进行充、放电。</w:t>
            </w:r>
          </w:p>
        </w:tc>
      </w:tr>
      <w:tr w14:paraId="2D62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F50E47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0935D2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3936084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464C2E8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蓄电池连接处有无松动、腐蚀现象。</w:t>
            </w:r>
          </w:p>
        </w:tc>
      </w:tr>
      <w:tr w14:paraId="747A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8E8D3B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327D09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637137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48CD43C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蓄电池外观是否完好、无外壳变形和渗漏。</w:t>
            </w:r>
          </w:p>
        </w:tc>
      </w:tr>
      <w:tr w14:paraId="30E8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DC3302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28F810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0F16EE8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170EF89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蓄电池的极柱、安全阀周围是否有酸雾溢出。</w:t>
            </w:r>
          </w:p>
        </w:tc>
      </w:tr>
      <w:tr w14:paraId="058F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B96546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3754DC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4947DCF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UPS外观检查</w:t>
            </w:r>
          </w:p>
        </w:tc>
        <w:tc>
          <w:tcPr>
            <w:tcW w:w="2421" w:type="pct"/>
            <w:tcBorders>
              <w:tl2br w:val="nil"/>
              <w:tr2bl w:val="nil"/>
            </w:tcBorders>
            <w:shd w:val="clear" w:color="auto" w:fill="FFFFFF"/>
            <w:vAlign w:val="center"/>
          </w:tcPr>
          <w:p w14:paraId="16E59AB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UPS状态切换正常，状态指示灯显示正确。</w:t>
            </w:r>
          </w:p>
        </w:tc>
      </w:tr>
      <w:tr w14:paraId="1F23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DFB4D0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460A3B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CFBFC4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UPS功能检查</w:t>
            </w:r>
          </w:p>
        </w:tc>
        <w:tc>
          <w:tcPr>
            <w:tcW w:w="2421" w:type="pct"/>
            <w:tcBorders>
              <w:tl2br w:val="nil"/>
              <w:tr2bl w:val="nil"/>
            </w:tcBorders>
            <w:shd w:val="clear" w:color="auto" w:fill="FFFFFF"/>
            <w:vAlign w:val="center"/>
          </w:tcPr>
          <w:p w14:paraId="2AE08F6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用电源管理和诊断软件检测UPS运行正常、参数设置正确。</w:t>
            </w:r>
          </w:p>
        </w:tc>
      </w:tr>
      <w:tr w14:paraId="2ABD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EC729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65098A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9F274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供电电压测量</w:t>
            </w:r>
          </w:p>
        </w:tc>
        <w:tc>
          <w:tcPr>
            <w:tcW w:w="2421" w:type="pct"/>
            <w:tcBorders>
              <w:tl2br w:val="nil"/>
              <w:tr2bl w:val="nil"/>
            </w:tcBorders>
            <w:shd w:val="clear" w:color="auto" w:fill="FFFFFF"/>
            <w:vAlign w:val="center"/>
          </w:tcPr>
          <w:p w14:paraId="7A9ADE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分别测量市电电压，稳压电源输出电压、UPS输入输出电压、蓄电池组电压，必要时测量蓄电池单体电压。</w:t>
            </w:r>
          </w:p>
        </w:tc>
      </w:tr>
      <w:tr w14:paraId="3028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1C032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8</w:t>
            </w:r>
          </w:p>
        </w:tc>
        <w:tc>
          <w:tcPr>
            <w:tcW w:w="761" w:type="pct"/>
            <w:vMerge w:val="restart"/>
            <w:tcBorders>
              <w:tl2br w:val="nil"/>
              <w:tr2bl w:val="nil"/>
            </w:tcBorders>
            <w:shd w:val="clear" w:color="auto" w:fill="FFFFFF"/>
            <w:vAlign w:val="center"/>
          </w:tcPr>
          <w:p w14:paraId="4C61281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设备连接</w:t>
            </w:r>
          </w:p>
        </w:tc>
        <w:tc>
          <w:tcPr>
            <w:tcW w:w="1431" w:type="pct"/>
            <w:tcBorders>
              <w:tl2br w:val="nil"/>
              <w:tr2bl w:val="nil"/>
            </w:tcBorders>
            <w:shd w:val="clear" w:color="auto" w:fill="FFFFFF"/>
            <w:vAlign w:val="center"/>
          </w:tcPr>
          <w:p w14:paraId="5E4761C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电源连接线检查</w:t>
            </w:r>
          </w:p>
        </w:tc>
        <w:tc>
          <w:tcPr>
            <w:tcW w:w="2421" w:type="pct"/>
            <w:tcBorders>
              <w:tl2br w:val="nil"/>
              <w:tr2bl w:val="nil"/>
            </w:tcBorders>
            <w:shd w:val="clear" w:color="auto" w:fill="FFFFFF"/>
            <w:vAlign w:val="center"/>
          </w:tcPr>
          <w:p w14:paraId="1D11DBE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设备电源连接线连接固定正常。</w:t>
            </w:r>
          </w:p>
        </w:tc>
      </w:tr>
      <w:tr w14:paraId="7C53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606F87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11D190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2F44577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数据连接线检查</w:t>
            </w:r>
          </w:p>
        </w:tc>
        <w:tc>
          <w:tcPr>
            <w:tcW w:w="2421" w:type="pct"/>
            <w:tcBorders>
              <w:tl2br w:val="nil"/>
              <w:tr2bl w:val="nil"/>
            </w:tcBorders>
            <w:shd w:val="clear" w:color="auto" w:fill="FFFFFF"/>
            <w:vAlign w:val="center"/>
          </w:tcPr>
          <w:p w14:paraId="7BDD1B0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设备数据连接线连接固定正常。</w:t>
            </w:r>
          </w:p>
        </w:tc>
      </w:tr>
      <w:tr w14:paraId="2669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ED141B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1062CF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13521CA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射频线检查</w:t>
            </w:r>
          </w:p>
        </w:tc>
        <w:tc>
          <w:tcPr>
            <w:tcW w:w="2421" w:type="pct"/>
            <w:tcBorders>
              <w:tl2br w:val="nil"/>
              <w:tr2bl w:val="nil"/>
            </w:tcBorders>
            <w:shd w:val="clear" w:color="auto" w:fill="FFFFFF"/>
            <w:vAlign w:val="center"/>
          </w:tcPr>
          <w:p w14:paraId="6D25B69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天馈射频连接线连接固定正常。</w:t>
            </w:r>
          </w:p>
        </w:tc>
      </w:tr>
      <w:tr w14:paraId="62E2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C5571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45A569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6E9584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控制线检查</w:t>
            </w:r>
          </w:p>
        </w:tc>
        <w:tc>
          <w:tcPr>
            <w:tcW w:w="2421" w:type="pct"/>
            <w:tcBorders>
              <w:tl2br w:val="nil"/>
              <w:tr2bl w:val="nil"/>
            </w:tcBorders>
            <w:shd w:val="clear" w:color="auto" w:fill="FFFFFF"/>
            <w:vAlign w:val="center"/>
          </w:tcPr>
          <w:p w14:paraId="1CB1F45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天馈控制连接线连接固定正常。</w:t>
            </w:r>
          </w:p>
        </w:tc>
      </w:tr>
      <w:tr w14:paraId="4587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restart"/>
            <w:tcBorders>
              <w:tl2br w:val="nil"/>
              <w:tr2bl w:val="nil"/>
            </w:tcBorders>
            <w:shd w:val="clear" w:color="auto" w:fill="FFFFFF"/>
            <w:vAlign w:val="center"/>
          </w:tcPr>
          <w:p w14:paraId="5A6AA34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9</w:t>
            </w:r>
          </w:p>
        </w:tc>
        <w:tc>
          <w:tcPr>
            <w:tcW w:w="761" w:type="pct"/>
            <w:vMerge w:val="restart"/>
            <w:tcBorders>
              <w:tl2br w:val="nil"/>
              <w:tr2bl w:val="nil"/>
            </w:tcBorders>
            <w:shd w:val="clear" w:color="auto" w:fill="FFFFFF"/>
            <w:vAlign w:val="center"/>
          </w:tcPr>
          <w:p w14:paraId="0627902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遥控系统</w:t>
            </w:r>
          </w:p>
        </w:tc>
        <w:tc>
          <w:tcPr>
            <w:tcW w:w="1431" w:type="pct"/>
            <w:vMerge w:val="restart"/>
            <w:tcBorders>
              <w:tl2br w:val="nil"/>
              <w:tr2bl w:val="nil"/>
            </w:tcBorders>
            <w:shd w:val="clear" w:color="auto" w:fill="FFFFFF"/>
            <w:vAlign w:val="center"/>
          </w:tcPr>
          <w:p w14:paraId="34F0EB2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遥控系统检查</w:t>
            </w:r>
          </w:p>
        </w:tc>
        <w:tc>
          <w:tcPr>
            <w:tcW w:w="2421" w:type="pct"/>
            <w:tcBorders>
              <w:tl2br w:val="nil"/>
              <w:tr2bl w:val="nil"/>
            </w:tcBorders>
            <w:shd w:val="clear" w:color="auto" w:fill="FFFFFF"/>
            <w:vAlign w:val="center"/>
          </w:tcPr>
          <w:p w14:paraId="5E27E5D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27A5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72B7C8E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7C7F0C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0C709D8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16CA52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设备本地开关机测试。</w:t>
            </w:r>
          </w:p>
        </w:tc>
      </w:tr>
      <w:tr w14:paraId="4AD4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16D5925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E50AFC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747536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7BB9AEC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设备远程唤醒、关机测试。</w:t>
            </w:r>
          </w:p>
        </w:tc>
      </w:tr>
      <w:tr w14:paraId="431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41C7D86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10</w:t>
            </w:r>
          </w:p>
        </w:tc>
        <w:tc>
          <w:tcPr>
            <w:tcW w:w="761" w:type="pct"/>
            <w:vMerge w:val="restart"/>
            <w:tcBorders>
              <w:tl2br w:val="nil"/>
              <w:tr2bl w:val="nil"/>
            </w:tcBorders>
            <w:shd w:val="clear" w:color="auto" w:fill="FFFFFF"/>
            <w:vAlign w:val="center"/>
          </w:tcPr>
          <w:p w14:paraId="029940F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视频图像监视系统</w:t>
            </w:r>
          </w:p>
        </w:tc>
        <w:tc>
          <w:tcPr>
            <w:tcW w:w="1431" w:type="pct"/>
            <w:tcBorders>
              <w:tl2br w:val="nil"/>
              <w:tr2bl w:val="nil"/>
            </w:tcBorders>
            <w:shd w:val="clear" w:color="auto" w:fill="FFFFFF"/>
            <w:vAlign w:val="center"/>
          </w:tcPr>
          <w:p w14:paraId="695E4B0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视频服务器功能检查</w:t>
            </w:r>
          </w:p>
        </w:tc>
        <w:tc>
          <w:tcPr>
            <w:tcW w:w="2421" w:type="pct"/>
            <w:tcBorders>
              <w:tl2br w:val="nil"/>
              <w:tr2bl w:val="nil"/>
            </w:tcBorders>
            <w:shd w:val="clear" w:color="auto" w:fill="FFFFFF"/>
            <w:vAlign w:val="center"/>
          </w:tcPr>
          <w:p w14:paraId="64F6A69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7644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6CE0943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726FA7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14FD024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摄像机&amp;云台功能检查</w:t>
            </w:r>
          </w:p>
        </w:tc>
        <w:tc>
          <w:tcPr>
            <w:tcW w:w="2421" w:type="pct"/>
            <w:tcBorders>
              <w:tl2br w:val="nil"/>
              <w:tr2bl w:val="nil"/>
            </w:tcBorders>
            <w:shd w:val="clear" w:color="auto" w:fill="FFFFFF"/>
            <w:vAlign w:val="center"/>
          </w:tcPr>
          <w:p w14:paraId="0AE9AD5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0A4B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4372646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790A5C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6137011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61314B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检查设备供电是否为长供电（UPS供电）。</w:t>
            </w:r>
          </w:p>
        </w:tc>
      </w:tr>
      <w:tr w14:paraId="423B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0E5D986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454AE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0A5D74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F4DD49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监控图像测试（截图）。</w:t>
            </w:r>
          </w:p>
        </w:tc>
      </w:tr>
      <w:tr w14:paraId="7396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253669D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761" w:type="pct"/>
            <w:vMerge w:val="restart"/>
            <w:tcBorders>
              <w:tl2br w:val="nil"/>
              <w:tr2bl w:val="nil"/>
            </w:tcBorders>
            <w:shd w:val="clear" w:color="auto" w:fill="FFFFFF"/>
            <w:vAlign w:val="center"/>
          </w:tcPr>
          <w:p w14:paraId="5EFFA6F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防雷接地系统</w:t>
            </w:r>
          </w:p>
        </w:tc>
        <w:tc>
          <w:tcPr>
            <w:tcW w:w="1431" w:type="pct"/>
            <w:vMerge w:val="restart"/>
            <w:tcBorders>
              <w:tl2br w:val="nil"/>
              <w:tr2bl w:val="nil"/>
            </w:tcBorders>
            <w:shd w:val="clear" w:color="auto" w:fill="FFFFFF"/>
            <w:vAlign w:val="center"/>
          </w:tcPr>
          <w:p w14:paraId="0AADE7C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 供电、 设备、网络、 天线、 铁塔的防雷接地检测</w:t>
            </w:r>
          </w:p>
        </w:tc>
        <w:tc>
          <w:tcPr>
            <w:tcW w:w="2421" w:type="pct"/>
            <w:tcBorders>
              <w:tl2br w:val="nil"/>
              <w:tr2bl w:val="nil"/>
            </w:tcBorders>
            <w:shd w:val="clear" w:color="auto" w:fill="FFFFFF"/>
            <w:vAlign w:val="center"/>
          </w:tcPr>
          <w:p w14:paraId="5569D6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馈线防雷器性能是否良好，芯线未断路。</w:t>
            </w:r>
          </w:p>
        </w:tc>
      </w:tr>
      <w:tr w14:paraId="1D61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E5E539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23C814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2AACCB7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2D8F271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防雷器外壳未击穿短路接地，无跳火现象。</w:t>
            </w:r>
          </w:p>
        </w:tc>
      </w:tr>
      <w:tr w14:paraId="16BA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A3CDD1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02F177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71BBDD3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9D384F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防雷器接地引线连接可靠，线径大小符合规定要求。</w:t>
            </w:r>
          </w:p>
        </w:tc>
      </w:tr>
      <w:tr w14:paraId="7F5E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6E092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853B95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38F43BF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34DFC96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highlight w:val="none"/>
              </w:rPr>
              <w:t>防雷器接地电阻≤4Ω。</w:t>
            </w:r>
          </w:p>
        </w:tc>
      </w:tr>
      <w:tr w14:paraId="7069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AAAA12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831D94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6F329D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70C5C3A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防雷是否符合要求及避雷针与引下线是否符合规定</w:t>
            </w:r>
          </w:p>
        </w:tc>
      </w:tr>
      <w:tr w14:paraId="5A76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restart"/>
            <w:tcBorders>
              <w:tl2br w:val="nil"/>
              <w:tr2bl w:val="nil"/>
            </w:tcBorders>
            <w:shd w:val="clear" w:color="auto" w:fill="FFFFFF"/>
            <w:vAlign w:val="center"/>
          </w:tcPr>
          <w:p w14:paraId="7743434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61" w:type="pct"/>
            <w:vMerge w:val="restart"/>
            <w:tcBorders>
              <w:tl2br w:val="nil"/>
              <w:tr2bl w:val="nil"/>
            </w:tcBorders>
            <w:shd w:val="clear" w:color="auto" w:fill="FFFFFF"/>
            <w:vAlign w:val="center"/>
          </w:tcPr>
          <w:p w14:paraId="4CDB319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w:t>
            </w:r>
          </w:p>
        </w:tc>
        <w:tc>
          <w:tcPr>
            <w:tcW w:w="1431" w:type="pct"/>
            <w:vMerge w:val="restart"/>
            <w:tcBorders>
              <w:tl2br w:val="nil"/>
              <w:tr2bl w:val="nil"/>
            </w:tcBorders>
            <w:shd w:val="clear" w:color="auto" w:fill="FFFFFF"/>
            <w:vAlign w:val="center"/>
          </w:tcPr>
          <w:p w14:paraId="3D1C6AA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铁塔及支架检查</w:t>
            </w:r>
          </w:p>
        </w:tc>
        <w:tc>
          <w:tcPr>
            <w:tcW w:w="2421" w:type="pct"/>
            <w:tcBorders>
              <w:tl2br w:val="nil"/>
              <w:tr2bl w:val="nil"/>
            </w:tcBorders>
            <w:shd w:val="clear" w:color="auto" w:fill="FFFFFF"/>
            <w:vAlign w:val="center"/>
          </w:tcPr>
          <w:p w14:paraId="53DB2C9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铁塔基础数据和垂直度测量检查。</w:t>
            </w:r>
          </w:p>
        </w:tc>
      </w:tr>
      <w:tr w14:paraId="64C6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1B65365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8F87EA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4511A5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93C189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镀锌、螺栓、平台、构件、天线支架支臂、爬梯是否发生生锈松动或腐蚀情况检查。</w:t>
            </w:r>
          </w:p>
        </w:tc>
      </w:tr>
      <w:tr w14:paraId="52D2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5CBA4A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4307137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BFA5D5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412F4C0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周边环境杂物清理。</w:t>
            </w:r>
          </w:p>
        </w:tc>
      </w:tr>
      <w:tr w14:paraId="0FB6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84" w:type="pct"/>
            <w:vMerge w:val="restart"/>
            <w:tcBorders>
              <w:tl2br w:val="nil"/>
              <w:tr2bl w:val="nil"/>
            </w:tcBorders>
            <w:shd w:val="clear" w:color="auto" w:fill="FFFFFF"/>
            <w:vAlign w:val="center"/>
          </w:tcPr>
          <w:p w14:paraId="7C0F4ED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761" w:type="pct"/>
            <w:vMerge w:val="restart"/>
            <w:tcBorders>
              <w:tl2br w:val="nil"/>
              <w:tr2bl w:val="nil"/>
            </w:tcBorders>
            <w:shd w:val="clear" w:color="auto" w:fill="FFFFFF"/>
            <w:vAlign w:val="center"/>
          </w:tcPr>
          <w:p w14:paraId="5CFE6DE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环境监控系统</w:t>
            </w:r>
          </w:p>
        </w:tc>
        <w:tc>
          <w:tcPr>
            <w:tcW w:w="1431" w:type="pct"/>
            <w:tcBorders>
              <w:tl2br w:val="nil"/>
              <w:tr2bl w:val="nil"/>
            </w:tcBorders>
            <w:shd w:val="clear" w:color="auto" w:fill="FFFFFF"/>
            <w:vAlign w:val="center"/>
          </w:tcPr>
          <w:p w14:paraId="49D253A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门窗防盗检查</w:t>
            </w:r>
          </w:p>
        </w:tc>
        <w:tc>
          <w:tcPr>
            <w:tcW w:w="2421" w:type="pct"/>
            <w:tcBorders>
              <w:tl2br w:val="nil"/>
              <w:tr2bl w:val="nil"/>
            </w:tcBorders>
            <w:shd w:val="clear" w:color="auto" w:fill="FFFFFF"/>
            <w:vAlign w:val="center"/>
          </w:tcPr>
          <w:p w14:paraId="14FAA3D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检查门窗是否完好，每次出入机房按规定关好门窗。</w:t>
            </w:r>
          </w:p>
        </w:tc>
      </w:tr>
      <w:tr w14:paraId="7289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2B7FB2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F257B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504ECC5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温湿度检查</w:t>
            </w:r>
          </w:p>
        </w:tc>
        <w:tc>
          <w:tcPr>
            <w:tcW w:w="2421" w:type="pct"/>
            <w:tcBorders>
              <w:tl2br w:val="nil"/>
              <w:tr2bl w:val="nil"/>
            </w:tcBorders>
            <w:shd w:val="clear" w:color="auto" w:fill="FFFFFF"/>
            <w:vAlign w:val="center"/>
          </w:tcPr>
          <w:p w14:paraId="5C528A8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检查机房内温度湿度计正常工作，指标正常。</w:t>
            </w:r>
          </w:p>
        </w:tc>
      </w:tr>
      <w:tr w14:paraId="38EB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B40AEE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7A9772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F3CF0E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消防检查</w:t>
            </w:r>
          </w:p>
        </w:tc>
        <w:tc>
          <w:tcPr>
            <w:tcW w:w="2421" w:type="pct"/>
            <w:tcBorders>
              <w:tl2br w:val="nil"/>
              <w:tr2bl w:val="nil"/>
            </w:tcBorders>
            <w:shd w:val="clear" w:color="auto" w:fill="FFFFFF"/>
            <w:vAlign w:val="center"/>
          </w:tcPr>
          <w:p w14:paraId="127ED58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检查消防器材是否在检查时间范围内，检查室外消火栓系统、防排烟设施和灭火设施是否正常工作。</w:t>
            </w:r>
          </w:p>
        </w:tc>
      </w:tr>
      <w:tr w14:paraId="4B6F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1C6CF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6A94AFF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5373BB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监控检查</w:t>
            </w:r>
          </w:p>
        </w:tc>
        <w:tc>
          <w:tcPr>
            <w:tcW w:w="2421" w:type="pct"/>
            <w:tcBorders>
              <w:tl2br w:val="nil"/>
              <w:tr2bl w:val="nil"/>
            </w:tcBorders>
            <w:shd w:val="clear" w:color="auto" w:fill="FFFFFF"/>
            <w:vAlign w:val="center"/>
          </w:tcPr>
          <w:p w14:paraId="1EFC305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检查监控是否正常工作，摄像头位置是否正常，影像存储是否正常。</w:t>
            </w:r>
          </w:p>
        </w:tc>
      </w:tr>
      <w:tr w14:paraId="7DEB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84" w:type="pct"/>
            <w:vMerge w:val="continue"/>
            <w:tcBorders>
              <w:tl2br w:val="nil"/>
              <w:tr2bl w:val="nil"/>
            </w:tcBorders>
            <w:shd w:val="clear" w:color="auto" w:fill="FFFFFF"/>
            <w:vAlign w:val="center"/>
          </w:tcPr>
          <w:p w14:paraId="0B3BA96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7EC5BF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08A22A2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空调检查</w:t>
            </w:r>
          </w:p>
        </w:tc>
        <w:tc>
          <w:tcPr>
            <w:tcW w:w="2421" w:type="pct"/>
            <w:tcBorders>
              <w:tl2br w:val="nil"/>
              <w:tr2bl w:val="nil"/>
            </w:tcBorders>
            <w:shd w:val="clear" w:color="auto" w:fill="FFFFFF"/>
            <w:vAlign w:val="center"/>
          </w:tcPr>
          <w:p w14:paraId="5FC9798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检查空调是否正常工作。空调风机、过滤网清洗，管道检查，温度设定。</w:t>
            </w:r>
          </w:p>
        </w:tc>
      </w:tr>
      <w:tr w14:paraId="2534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AB59CA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3D29C9D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14:paraId="627688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传感器检查</w:t>
            </w:r>
          </w:p>
        </w:tc>
        <w:tc>
          <w:tcPr>
            <w:tcW w:w="2421" w:type="pct"/>
            <w:tcBorders>
              <w:tl2br w:val="nil"/>
              <w:tr2bl w:val="nil"/>
            </w:tcBorders>
            <w:shd w:val="clear" w:color="auto" w:fill="FFFFFF"/>
            <w:vAlign w:val="center"/>
          </w:tcPr>
          <w:p w14:paraId="6F266AC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红外线人体移动、门磁、烟感等传感器是否能够产生报警信息。</w:t>
            </w:r>
          </w:p>
        </w:tc>
      </w:tr>
      <w:tr w14:paraId="7FA0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0A1888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0D895D9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14:paraId="76DF438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机房检查</w:t>
            </w:r>
          </w:p>
        </w:tc>
        <w:tc>
          <w:tcPr>
            <w:tcW w:w="2421" w:type="pct"/>
            <w:tcBorders>
              <w:tl2br w:val="nil"/>
              <w:tr2bl w:val="nil"/>
            </w:tcBorders>
            <w:shd w:val="clear" w:color="auto" w:fill="FFFFFF"/>
            <w:vAlign w:val="center"/>
          </w:tcPr>
          <w:p w14:paraId="3431E8A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检查机柜安全可靠牢固，检查机柜散热风扇运行情况正常。</w:t>
            </w:r>
          </w:p>
        </w:tc>
      </w:tr>
      <w:tr w14:paraId="1E94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B02B5B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292B38B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1F6B7D4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17D5244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对设备进行除尘，对机柜进行清洁维护。</w:t>
            </w:r>
          </w:p>
        </w:tc>
      </w:tr>
      <w:tr w14:paraId="3AEF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536B74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320674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085EE1B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5B33EB2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对机房环境卫生进行打扫，机柜内线缆连接检查整理，机房外围安全检查和机房防水检查，移除杂物和易燃易爆物品，砍青修枝，排除隐患。</w:t>
            </w:r>
          </w:p>
        </w:tc>
      </w:tr>
      <w:tr w14:paraId="0E51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489C35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591ACBC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42A2AA1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03E9148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机房墙体、屋顶是否存在漏水、渗水和裂缝；机房门、馈线窗、空调孔、排气孔是否封堵严密。</w:t>
            </w:r>
          </w:p>
        </w:tc>
      </w:tr>
      <w:tr w14:paraId="2502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160803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50A06C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1B8A9C3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662BACA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现场记录温湿度情况，与监控设备显示值进行比对。</w:t>
            </w:r>
          </w:p>
        </w:tc>
      </w:tr>
      <w:tr w14:paraId="0C63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506CA8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14:paraId="1DA5190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14:paraId="7977682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14:paraId="525B9B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检查照明设备是否正常 。</w:t>
            </w:r>
          </w:p>
        </w:tc>
      </w:tr>
    </w:tbl>
    <w:p w14:paraId="191210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rPr>
      </w:pPr>
      <w:r>
        <w:rPr>
          <w:rFonts w:hint="eastAsia" w:ascii="宋体" w:hAnsi="宋体" w:eastAsia="宋体" w:cs="宋体"/>
          <w:sz w:val="24"/>
          <w:szCs w:val="24"/>
        </w:rPr>
        <w:t>（2）移动监测站</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02"/>
        <w:gridCol w:w="1312"/>
        <w:gridCol w:w="2174"/>
        <w:gridCol w:w="4225"/>
      </w:tblGrid>
      <w:tr w14:paraId="2C148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tcBorders>
              <w:tl2br w:val="nil"/>
              <w:tr2bl w:val="nil"/>
            </w:tcBorders>
            <w:shd w:val="clear" w:color="auto" w:fill="FFFFFF"/>
            <w:vAlign w:val="center"/>
          </w:tcPr>
          <w:p w14:paraId="61275AA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序号</w:t>
            </w:r>
          </w:p>
        </w:tc>
        <w:tc>
          <w:tcPr>
            <w:tcW w:w="789" w:type="pct"/>
            <w:tcBorders>
              <w:tl2br w:val="nil"/>
              <w:tr2bl w:val="nil"/>
            </w:tcBorders>
            <w:shd w:val="clear" w:color="auto" w:fill="FFFFFF"/>
            <w:vAlign w:val="center"/>
          </w:tcPr>
          <w:p w14:paraId="46E9EED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巡检设备</w:t>
            </w:r>
          </w:p>
        </w:tc>
        <w:tc>
          <w:tcPr>
            <w:tcW w:w="1307" w:type="pct"/>
            <w:tcBorders>
              <w:tl2br w:val="nil"/>
              <w:tr2bl w:val="nil"/>
            </w:tcBorders>
            <w:shd w:val="clear" w:color="auto" w:fill="FFFFFF"/>
            <w:vAlign w:val="center"/>
          </w:tcPr>
          <w:p w14:paraId="6CA09CA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巡检项目</w:t>
            </w:r>
          </w:p>
        </w:tc>
        <w:tc>
          <w:tcPr>
            <w:tcW w:w="2540" w:type="pct"/>
            <w:tcBorders>
              <w:tl2br w:val="nil"/>
              <w:tr2bl w:val="nil"/>
            </w:tcBorders>
            <w:shd w:val="clear" w:color="auto" w:fill="FFFFFF"/>
            <w:vAlign w:val="center"/>
          </w:tcPr>
          <w:p w14:paraId="3FAD1D7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巡检要求</w:t>
            </w:r>
          </w:p>
        </w:tc>
      </w:tr>
      <w:tr w14:paraId="56F02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restart"/>
            <w:tcBorders>
              <w:tl2br w:val="nil"/>
              <w:tr2bl w:val="nil"/>
            </w:tcBorders>
            <w:shd w:val="clear" w:color="auto" w:fill="FFFFFF"/>
            <w:vAlign w:val="center"/>
          </w:tcPr>
          <w:p w14:paraId="10EDC56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w:t>
            </w:r>
          </w:p>
        </w:tc>
        <w:tc>
          <w:tcPr>
            <w:tcW w:w="789" w:type="pct"/>
            <w:vMerge w:val="restart"/>
            <w:tcBorders>
              <w:tl2br w:val="nil"/>
              <w:tr2bl w:val="nil"/>
            </w:tcBorders>
            <w:shd w:val="clear" w:color="auto" w:fill="FFFFFF"/>
            <w:vAlign w:val="center"/>
          </w:tcPr>
          <w:p w14:paraId="2DAB38C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天馈系统</w:t>
            </w:r>
          </w:p>
        </w:tc>
        <w:tc>
          <w:tcPr>
            <w:tcW w:w="1307" w:type="pct"/>
            <w:tcBorders>
              <w:tl2br w:val="nil"/>
              <w:tr2bl w:val="nil"/>
            </w:tcBorders>
            <w:shd w:val="clear" w:color="auto" w:fill="FFFFFF"/>
            <w:vAlign w:val="center"/>
          </w:tcPr>
          <w:p w14:paraId="75AA6AE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监测功能</w:t>
            </w:r>
          </w:p>
        </w:tc>
        <w:tc>
          <w:tcPr>
            <w:tcW w:w="2540" w:type="pct"/>
            <w:tcBorders>
              <w:tl2br w:val="nil"/>
              <w:tr2bl w:val="nil"/>
            </w:tcBorders>
            <w:shd w:val="clear" w:color="auto" w:fill="FFFFFF"/>
            <w:vAlign w:val="center"/>
          </w:tcPr>
          <w:p w14:paraId="5582260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检查监测天线在其工作范围的工作状态，确保能够实时准确的捕捉到天线所处空间的电波信号。</w:t>
            </w:r>
          </w:p>
        </w:tc>
      </w:tr>
      <w:tr w14:paraId="714A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continue"/>
            <w:tcBorders>
              <w:tl2br w:val="nil"/>
              <w:tr2bl w:val="nil"/>
            </w:tcBorders>
            <w:shd w:val="clear" w:color="auto" w:fill="FFFFFF"/>
            <w:vAlign w:val="center"/>
          </w:tcPr>
          <w:p w14:paraId="2B93F1D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89" w:type="pct"/>
            <w:vMerge w:val="continue"/>
            <w:tcBorders>
              <w:tl2br w:val="nil"/>
              <w:tr2bl w:val="nil"/>
            </w:tcBorders>
            <w:shd w:val="clear" w:color="auto" w:fill="FFFFFF"/>
            <w:vAlign w:val="center"/>
          </w:tcPr>
          <w:p w14:paraId="037CC5B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tc>
        <w:tc>
          <w:tcPr>
            <w:tcW w:w="1307" w:type="pct"/>
            <w:tcBorders>
              <w:tl2br w:val="nil"/>
              <w:tr2bl w:val="nil"/>
            </w:tcBorders>
            <w:shd w:val="clear" w:color="auto" w:fill="FFFFFF"/>
            <w:vAlign w:val="center"/>
          </w:tcPr>
          <w:p w14:paraId="02C64F5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天线阵单元检查</w:t>
            </w:r>
          </w:p>
        </w:tc>
        <w:tc>
          <w:tcPr>
            <w:tcW w:w="2540" w:type="pct"/>
            <w:tcBorders>
              <w:tl2br w:val="nil"/>
              <w:tr2bl w:val="nil"/>
            </w:tcBorders>
            <w:shd w:val="clear" w:color="auto" w:fill="FFFFFF"/>
            <w:vAlign w:val="center"/>
          </w:tcPr>
          <w:p w14:paraId="14581B6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检查测向天线各阵子工作是否正常。</w:t>
            </w:r>
          </w:p>
        </w:tc>
      </w:tr>
      <w:tr w14:paraId="3C123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4E8E13C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1F77FF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16510D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天线外观检查</w:t>
            </w:r>
          </w:p>
        </w:tc>
        <w:tc>
          <w:tcPr>
            <w:tcW w:w="2540" w:type="pct"/>
            <w:tcBorders>
              <w:tl2br w:val="nil"/>
              <w:tr2bl w:val="nil"/>
            </w:tcBorders>
            <w:shd w:val="clear" w:color="auto" w:fill="FFFFFF"/>
            <w:vAlign w:val="center"/>
          </w:tcPr>
          <w:p w14:paraId="1EF97E1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检查天线自身，确保天线外部无损伤。</w:t>
            </w:r>
          </w:p>
        </w:tc>
      </w:tr>
      <w:tr w14:paraId="51B3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1C6605E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CC0496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10E7F1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GPS天线、电子罗盘检查</w:t>
            </w:r>
          </w:p>
        </w:tc>
        <w:tc>
          <w:tcPr>
            <w:tcW w:w="2540" w:type="pct"/>
            <w:tcBorders>
              <w:tl2br w:val="nil"/>
              <w:tr2bl w:val="nil"/>
            </w:tcBorders>
            <w:shd w:val="clear" w:color="auto" w:fill="FFFFFF"/>
            <w:vAlign w:val="center"/>
          </w:tcPr>
          <w:p w14:paraId="1BBD93D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GPS天线、电子罗盘功能正常。</w:t>
            </w:r>
          </w:p>
        </w:tc>
      </w:tr>
      <w:tr w14:paraId="431A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62" w:type="pct"/>
            <w:vMerge w:val="continue"/>
            <w:tcBorders>
              <w:tl2br w:val="nil"/>
              <w:tr2bl w:val="nil"/>
            </w:tcBorders>
            <w:shd w:val="clear" w:color="auto" w:fill="FFFFFF"/>
            <w:vAlign w:val="center"/>
          </w:tcPr>
          <w:p w14:paraId="3B48321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75ED6C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92578C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馈线、控制线接头检查</w:t>
            </w:r>
          </w:p>
        </w:tc>
        <w:tc>
          <w:tcPr>
            <w:tcW w:w="2540" w:type="pct"/>
            <w:vMerge w:val="restart"/>
            <w:tcBorders>
              <w:tl2br w:val="nil"/>
              <w:tr2bl w:val="nil"/>
            </w:tcBorders>
            <w:shd w:val="clear" w:color="auto" w:fill="FFFFFF"/>
            <w:vAlign w:val="center"/>
          </w:tcPr>
          <w:p w14:paraId="7F82402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检查馈线、控制线接头是否存在裸露或氧化情况。及时有效的做好防水处理。</w:t>
            </w:r>
          </w:p>
        </w:tc>
      </w:tr>
      <w:tr w14:paraId="19AF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5CFF656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6ECD196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A5B101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防水情况检查</w:t>
            </w:r>
          </w:p>
        </w:tc>
        <w:tc>
          <w:tcPr>
            <w:tcW w:w="2540" w:type="pct"/>
            <w:vMerge w:val="continue"/>
            <w:tcBorders>
              <w:tl2br w:val="nil"/>
              <w:tr2bl w:val="nil"/>
            </w:tcBorders>
            <w:shd w:val="clear" w:color="auto" w:fill="FFFFFF"/>
            <w:vAlign w:val="center"/>
          </w:tcPr>
          <w:p w14:paraId="57FE5B9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7CF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6FFC963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2</w:t>
            </w:r>
          </w:p>
        </w:tc>
        <w:tc>
          <w:tcPr>
            <w:tcW w:w="789" w:type="pct"/>
            <w:vMerge w:val="restart"/>
            <w:tcBorders>
              <w:tl2br w:val="nil"/>
              <w:tr2bl w:val="nil"/>
            </w:tcBorders>
            <w:shd w:val="clear" w:color="auto" w:fill="FFFFFF"/>
            <w:vAlign w:val="center"/>
          </w:tcPr>
          <w:p w14:paraId="2C6C09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监测系统</w:t>
            </w:r>
          </w:p>
        </w:tc>
        <w:tc>
          <w:tcPr>
            <w:tcW w:w="1307" w:type="pct"/>
            <w:tcBorders>
              <w:tl2br w:val="nil"/>
              <w:tr2bl w:val="nil"/>
            </w:tcBorders>
            <w:shd w:val="clear" w:color="auto" w:fill="FFFFFF"/>
            <w:vAlign w:val="center"/>
          </w:tcPr>
          <w:p w14:paraId="290ED5C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频率准确度</w:t>
            </w:r>
          </w:p>
        </w:tc>
        <w:tc>
          <w:tcPr>
            <w:tcW w:w="2540" w:type="pct"/>
            <w:vMerge w:val="restart"/>
            <w:tcBorders>
              <w:tl2br w:val="nil"/>
              <w:tr2bl w:val="nil"/>
            </w:tcBorders>
            <w:shd w:val="clear" w:color="auto" w:fill="FFFFFF"/>
            <w:vAlign w:val="center"/>
          </w:tcPr>
          <w:p w14:paraId="347E86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r>
              <w:rPr>
                <w:rFonts w:hint="eastAsia" w:ascii="宋体" w:hAnsi="宋体" w:eastAsia="宋体" w:cs="宋体"/>
                <w:sz w:val="24"/>
                <w:szCs w:val="24"/>
              </w:rPr>
              <w:t>检查设备测量接收精度在设备的工作范围内，参考设备厂家出场的设备性能指标对设备进行参 考性测试，确保其工作正常。</w:t>
            </w:r>
          </w:p>
        </w:tc>
      </w:tr>
      <w:tr w14:paraId="1EDE5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6C5FE68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6AC72A6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180789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扫描速度</w:t>
            </w:r>
          </w:p>
        </w:tc>
        <w:tc>
          <w:tcPr>
            <w:tcW w:w="2540" w:type="pct"/>
            <w:vMerge w:val="continue"/>
            <w:tcBorders>
              <w:tl2br w:val="nil"/>
              <w:tr2bl w:val="nil"/>
            </w:tcBorders>
            <w:shd w:val="clear" w:color="auto" w:fill="FFFFFF"/>
            <w:vAlign w:val="center"/>
          </w:tcPr>
          <w:p w14:paraId="52533D4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32B5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3AE8E0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CE2960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3CF896A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电平测量误差</w:t>
            </w:r>
          </w:p>
        </w:tc>
        <w:tc>
          <w:tcPr>
            <w:tcW w:w="2540" w:type="pct"/>
            <w:vMerge w:val="continue"/>
            <w:tcBorders>
              <w:tl2br w:val="nil"/>
              <w:tr2bl w:val="nil"/>
            </w:tcBorders>
            <w:shd w:val="clear" w:color="auto" w:fill="FFFFFF"/>
            <w:vAlign w:val="center"/>
          </w:tcPr>
          <w:p w14:paraId="10EAC92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051E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ACA284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89" w:type="pct"/>
            <w:vMerge w:val="continue"/>
            <w:tcBorders>
              <w:tl2br w:val="nil"/>
              <w:tr2bl w:val="nil"/>
            </w:tcBorders>
            <w:shd w:val="clear" w:color="auto" w:fill="FFFFFF"/>
            <w:vAlign w:val="center"/>
          </w:tcPr>
          <w:p w14:paraId="3FE9696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p>
        </w:tc>
        <w:tc>
          <w:tcPr>
            <w:tcW w:w="1307" w:type="pct"/>
            <w:tcBorders>
              <w:top w:val="single" w:color="auto" w:sz="4" w:space="0"/>
              <w:tl2br w:val="nil"/>
              <w:tr2bl w:val="nil"/>
            </w:tcBorders>
            <w:shd w:val="clear" w:color="auto" w:fill="FFFFFF"/>
            <w:vAlign w:val="center"/>
          </w:tcPr>
          <w:p w14:paraId="70956E1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540" w:type="pct"/>
            <w:vMerge w:val="restart"/>
            <w:tcBorders>
              <w:tl2br w:val="nil"/>
              <w:tr2bl w:val="nil"/>
            </w:tcBorders>
            <w:shd w:val="clear" w:color="auto" w:fill="FFFFFF"/>
            <w:vAlign w:val="center"/>
          </w:tcPr>
          <w:p w14:paraId="06429AA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14:paraId="0DE1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989E9A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788D33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098D548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540" w:type="pct"/>
            <w:vMerge w:val="continue"/>
            <w:tcBorders>
              <w:tl2br w:val="nil"/>
              <w:tr2bl w:val="nil"/>
            </w:tcBorders>
            <w:shd w:val="clear" w:color="auto" w:fill="FFFFFF"/>
            <w:vAlign w:val="center"/>
          </w:tcPr>
          <w:p w14:paraId="520CF76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7F8A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023996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EC0DDA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86C07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540" w:type="pct"/>
            <w:vMerge w:val="continue"/>
            <w:tcBorders>
              <w:tl2br w:val="nil"/>
              <w:tr2bl w:val="nil"/>
            </w:tcBorders>
            <w:shd w:val="clear" w:color="auto" w:fill="FFFFFF"/>
            <w:vAlign w:val="center"/>
          </w:tcPr>
          <w:p w14:paraId="1D4BA4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6FA63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8C343F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5C472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3BCD701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540" w:type="pct"/>
            <w:vMerge w:val="continue"/>
            <w:tcBorders>
              <w:tl2br w:val="nil"/>
              <w:tr2bl w:val="nil"/>
            </w:tcBorders>
            <w:shd w:val="clear" w:color="auto" w:fill="FFFFFF"/>
            <w:vAlign w:val="center"/>
          </w:tcPr>
          <w:p w14:paraId="5E189F7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3AD1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FE3DE0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B91343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3E734DF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接收机自检</w:t>
            </w:r>
          </w:p>
        </w:tc>
        <w:tc>
          <w:tcPr>
            <w:tcW w:w="2540" w:type="pct"/>
            <w:vMerge w:val="continue"/>
            <w:tcBorders>
              <w:tl2br w:val="nil"/>
              <w:tr2bl w:val="nil"/>
            </w:tcBorders>
            <w:shd w:val="clear" w:color="auto" w:fill="FFFFFF"/>
            <w:vAlign w:val="center"/>
          </w:tcPr>
          <w:p w14:paraId="329CBF7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413A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2D99FB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1BCF5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03327EE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540" w:type="pct"/>
            <w:tcBorders>
              <w:tl2br w:val="nil"/>
              <w:tr2bl w:val="nil"/>
            </w:tcBorders>
            <w:shd w:val="clear" w:color="auto" w:fill="FFFFFF"/>
            <w:vAlign w:val="center"/>
          </w:tcPr>
          <w:p w14:paraId="59EC2BE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14:paraId="234F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63D434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7B4E2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624ED66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w:t>
            </w:r>
          </w:p>
        </w:tc>
        <w:tc>
          <w:tcPr>
            <w:tcW w:w="2540" w:type="pct"/>
            <w:vMerge w:val="restart"/>
            <w:tcBorders>
              <w:tl2br w:val="nil"/>
              <w:tr2bl w:val="nil"/>
            </w:tcBorders>
            <w:shd w:val="clear" w:color="auto" w:fill="FFFFFF"/>
            <w:vAlign w:val="center"/>
          </w:tcPr>
          <w:p w14:paraId="366DBF4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检查设备通过软件的控制过程，是否存在软件无法进行数据响应交换。</w:t>
            </w:r>
          </w:p>
        </w:tc>
      </w:tr>
      <w:tr w14:paraId="2D99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8D876F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3C907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0E0D77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频段扫描</w:t>
            </w:r>
          </w:p>
        </w:tc>
        <w:tc>
          <w:tcPr>
            <w:tcW w:w="2540" w:type="pct"/>
            <w:vMerge w:val="continue"/>
            <w:tcBorders>
              <w:tl2br w:val="nil"/>
              <w:tr2bl w:val="nil"/>
            </w:tcBorders>
            <w:shd w:val="clear" w:color="auto" w:fill="FFFFFF"/>
            <w:vAlign w:val="center"/>
          </w:tcPr>
          <w:p w14:paraId="2B0DF57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02FD6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DD6977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664019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8A0CEC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离散扫描</w:t>
            </w:r>
          </w:p>
        </w:tc>
        <w:tc>
          <w:tcPr>
            <w:tcW w:w="2540" w:type="pct"/>
            <w:vMerge w:val="continue"/>
            <w:tcBorders>
              <w:tl2br w:val="nil"/>
              <w:tr2bl w:val="nil"/>
            </w:tcBorders>
            <w:shd w:val="clear" w:color="auto" w:fill="FFFFFF"/>
            <w:vAlign w:val="center"/>
          </w:tcPr>
          <w:p w14:paraId="542E07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05A6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B19CB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FB2455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DE3341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540" w:type="pct"/>
            <w:tcBorders>
              <w:tl2br w:val="nil"/>
              <w:tr2bl w:val="nil"/>
            </w:tcBorders>
            <w:shd w:val="clear" w:color="auto" w:fill="FFFFFF"/>
            <w:vAlign w:val="center"/>
          </w:tcPr>
          <w:p w14:paraId="302C4C4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14:paraId="308D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op w:val="single" w:color="auto" w:sz="4" w:space="0"/>
              <w:tl2br w:val="nil"/>
              <w:tr2bl w:val="nil"/>
            </w:tcBorders>
            <w:shd w:val="clear" w:color="auto" w:fill="FFFFFF"/>
            <w:vAlign w:val="center"/>
          </w:tcPr>
          <w:p w14:paraId="5BAC0C5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3</w:t>
            </w:r>
          </w:p>
        </w:tc>
        <w:tc>
          <w:tcPr>
            <w:tcW w:w="789" w:type="pct"/>
            <w:vMerge w:val="restart"/>
            <w:tcBorders>
              <w:top w:val="single" w:color="auto" w:sz="4" w:space="0"/>
              <w:tl2br w:val="nil"/>
              <w:tr2bl w:val="nil"/>
            </w:tcBorders>
            <w:shd w:val="clear" w:color="auto" w:fill="FFFFFF"/>
            <w:vAlign w:val="center"/>
          </w:tcPr>
          <w:p w14:paraId="776BCDD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测向系统</w:t>
            </w:r>
          </w:p>
        </w:tc>
        <w:tc>
          <w:tcPr>
            <w:tcW w:w="1307" w:type="pct"/>
            <w:tcBorders>
              <w:top w:val="single" w:color="auto" w:sz="4" w:space="0"/>
              <w:tl2br w:val="nil"/>
              <w:tr2bl w:val="nil"/>
            </w:tcBorders>
            <w:shd w:val="clear" w:color="auto" w:fill="FFFFFF"/>
            <w:vAlign w:val="center"/>
          </w:tcPr>
          <w:p w14:paraId="15878FA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信标台站测试</w:t>
            </w:r>
          </w:p>
        </w:tc>
        <w:tc>
          <w:tcPr>
            <w:tcW w:w="2540" w:type="pct"/>
            <w:tcBorders>
              <w:tl2br w:val="nil"/>
              <w:tr2bl w:val="nil"/>
            </w:tcBorders>
            <w:shd w:val="clear" w:color="auto" w:fill="FFFFFF"/>
            <w:vAlign w:val="center"/>
          </w:tcPr>
          <w:p w14:paraId="29CE657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检查测向机的测向等功能是否正常且测向准确。</w:t>
            </w:r>
          </w:p>
        </w:tc>
      </w:tr>
      <w:tr w14:paraId="03EFF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557B9E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EF9D1B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BB61B9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540" w:type="pct"/>
            <w:vMerge w:val="restart"/>
            <w:tcBorders>
              <w:tl2br w:val="nil"/>
              <w:tr2bl w:val="nil"/>
            </w:tcBorders>
            <w:shd w:val="clear" w:color="auto" w:fill="FFFFFF"/>
            <w:vAlign w:val="center"/>
          </w:tcPr>
          <w:p w14:paraId="1B07271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14:paraId="161C2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E0B9A8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8ECC7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719E08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540" w:type="pct"/>
            <w:vMerge w:val="continue"/>
            <w:tcBorders>
              <w:tl2br w:val="nil"/>
              <w:tr2bl w:val="nil"/>
            </w:tcBorders>
            <w:shd w:val="clear" w:color="auto" w:fill="FFFFFF"/>
            <w:vAlign w:val="center"/>
          </w:tcPr>
          <w:p w14:paraId="01170A0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13BE0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7A4D98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B4DC8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582E3C6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540" w:type="pct"/>
            <w:vMerge w:val="continue"/>
            <w:tcBorders>
              <w:tl2br w:val="nil"/>
              <w:tr2bl w:val="nil"/>
            </w:tcBorders>
            <w:shd w:val="clear" w:color="auto" w:fill="FFFFFF"/>
            <w:vAlign w:val="center"/>
          </w:tcPr>
          <w:p w14:paraId="28B1A95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1BE6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DADBB9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F99A68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68603B6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540" w:type="pct"/>
            <w:vMerge w:val="continue"/>
            <w:tcBorders>
              <w:tl2br w:val="nil"/>
              <w:tr2bl w:val="nil"/>
            </w:tcBorders>
            <w:shd w:val="clear" w:color="auto" w:fill="FFFFFF"/>
            <w:vAlign w:val="center"/>
          </w:tcPr>
          <w:p w14:paraId="5773819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2AEC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29205EC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77FD5F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61ECEC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测向机自检</w:t>
            </w:r>
          </w:p>
        </w:tc>
        <w:tc>
          <w:tcPr>
            <w:tcW w:w="2540" w:type="pct"/>
            <w:vMerge w:val="continue"/>
            <w:tcBorders>
              <w:tl2br w:val="nil"/>
              <w:tr2bl w:val="nil"/>
            </w:tcBorders>
            <w:shd w:val="clear" w:color="auto" w:fill="FFFFFF"/>
            <w:vAlign w:val="center"/>
          </w:tcPr>
          <w:p w14:paraId="24DEB8D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14:paraId="5A6B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C349B6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0C700F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30C1F9E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540" w:type="pct"/>
            <w:tcBorders>
              <w:tl2br w:val="nil"/>
              <w:tr2bl w:val="nil"/>
            </w:tcBorders>
            <w:shd w:val="clear" w:color="auto" w:fill="FFFFFF"/>
            <w:vAlign w:val="center"/>
          </w:tcPr>
          <w:p w14:paraId="50BD189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14:paraId="0084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34A7F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4C86D5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6BFE02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540" w:type="pct"/>
            <w:tcBorders>
              <w:tl2br w:val="nil"/>
              <w:tr2bl w:val="nil"/>
            </w:tcBorders>
            <w:shd w:val="clear" w:color="auto" w:fill="FFFFFF"/>
            <w:vAlign w:val="center"/>
          </w:tcPr>
          <w:p w14:paraId="263F8D4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14:paraId="464D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restart"/>
            <w:tcBorders>
              <w:tl2br w:val="nil"/>
              <w:tr2bl w:val="nil"/>
            </w:tcBorders>
            <w:shd w:val="clear" w:color="auto" w:fill="FFFFFF"/>
            <w:vAlign w:val="center"/>
          </w:tcPr>
          <w:p w14:paraId="43C2A33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4</w:t>
            </w:r>
          </w:p>
        </w:tc>
        <w:tc>
          <w:tcPr>
            <w:tcW w:w="789" w:type="pct"/>
            <w:vMerge w:val="restart"/>
            <w:tcBorders>
              <w:tl2br w:val="nil"/>
              <w:tr2bl w:val="nil"/>
            </w:tcBorders>
            <w:shd w:val="clear" w:color="auto" w:fill="FFFFFF"/>
            <w:vAlign w:val="center"/>
          </w:tcPr>
          <w:p w14:paraId="5997D55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监测测向软件</w:t>
            </w:r>
          </w:p>
        </w:tc>
        <w:tc>
          <w:tcPr>
            <w:tcW w:w="1307" w:type="pct"/>
            <w:vMerge w:val="restart"/>
            <w:tcBorders>
              <w:tl2br w:val="nil"/>
              <w:tr2bl w:val="nil"/>
            </w:tcBorders>
            <w:shd w:val="clear" w:color="auto" w:fill="FFFFFF"/>
            <w:vAlign w:val="center"/>
          </w:tcPr>
          <w:p w14:paraId="17B33B0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启动监测测向软件检查</w:t>
            </w:r>
          </w:p>
        </w:tc>
        <w:tc>
          <w:tcPr>
            <w:tcW w:w="2540" w:type="pct"/>
            <w:tcBorders>
              <w:tl2br w:val="nil"/>
              <w:tr2bl w:val="nil"/>
            </w:tcBorders>
            <w:shd w:val="clear" w:color="auto" w:fill="FFFFFF"/>
            <w:vAlign w:val="center"/>
          </w:tcPr>
          <w:p w14:paraId="2AAF464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检查服务端初始化是否正常，有无报错信息。</w:t>
            </w:r>
          </w:p>
        </w:tc>
      </w:tr>
      <w:tr w14:paraId="3C4C0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6F1DCE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E06DA7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3D2C0E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27F3B1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检查服务端的设备、天线及网络配置检查。</w:t>
            </w:r>
          </w:p>
        </w:tc>
      </w:tr>
      <w:tr w14:paraId="288B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886411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86C30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7C61CFC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3DE7BA2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检查测试程序、系统软件控制等是否正常。</w:t>
            </w:r>
          </w:p>
        </w:tc>
      </w:tr>
      <w:tr w14:paraId="3AE25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5AFF612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644450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196A8E3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168FB1C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检查客户端是否正常连接，配置信息是否正确。</w:t>
            </w:r>
          </w:p>
        </w:tc>
      </w:tr>
      <w:tr w14:paraId="3B21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167E1A9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25C586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5A5D823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信号扫描检查</w:t>
            </w:r>
          </w:p>
        </w:tc>
        <w:tc>
          <w:tcPr>
            <w:tcW w:w="2540" w:type="pct"/>
            <w:tcBorders>
              <w:tl2br w:val="nil"/>
              <w:tr2bl w:val="nil"/>
            </w:tcBorders>
            <w:shd w:val="clear" w:color="auto" w:fill="FFFFFF"/>
            <w:vAlign w:val="center"/>
          </w:tcPr>
          <w:p w14:paraId="5778C40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检查天线频段扫描功能是否正常，扫描信号电平是否正常。</w:t>
            </w:r>
          </w:p>
        </w:tc>
      </w:tr>
      <w:tr w14:paraId="456D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545D56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164D07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55689B1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4C832DD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检查多段扫描功能是否正常。</w:t>
            </w:r>
          </w:p>
        </w:tc>
      </w:tr>
      <w:tr w14:paraId="1B3C5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413EF43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DD415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B19813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7515189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检查FSCAN、PSCAN、MSCAN扫描功能是否正常。</w:t>
            </w:r>
          </w:p>
        </w:tc>
      </w:tr>
      <w:tr w14:paraId="362EF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FE8B3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CDF3D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374290C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单频测量检查</w:t>
            </w:r>
          </w:p>
        </w:tc>
        <w:tc>
          <w:tcPr>
            <w:tcW w:w="2540" w:type="pct"/>
            <w:tcBorders>
              <w:tl2br w:val="nil"/>
              <w:tr2bl w:val="nil"/>
            </w:tcBorders>
            <w:shd w:val="clear" w:color="auto" w:fill="FFFFFF"/>
            <w:vAlign w:val="center"/>
          </w:tcPr>
          <w:p w14:paraId="48157AC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对频率、滤波带宽、频谱带宽等各参数进行设置，并测量，检查测量结果是否正常。</w:t>
            </w:r>
          </w:p>
        </w:tc>
      </w:tr>
      <w:tr w14:paraId="569C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814EBD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59E5D3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6FEA4A5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4657935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检查声音解调是否正常。</w:t>
            </w:r>
          </w:p>
        </w:tc>
      </w:tr>
      <w:tr w14:paraId="32F1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4429E2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6CDEE79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210FAD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示向度测量检查</w:t>
            </w:r>
          </w:p>
        </w:tc>
        <w:tc>
          <w:tcPr>
            <w:tcW w:w="2540" w:type="pct"/>
            <w:tcBorders>
              <w:tl2br w:val="nil"/>
              <w:tr2bl w:val="nil"/>
            </w:tcBorders>
            <w:shd w:val="clear" w:color="auto" w:fill="FFFFFF"/>
            <w:vAlign w:val="center"/>
          </w:tcPr>
          <w:p w14:paraId="5E94632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设置不同频率、参数进行示向度测量，并检查测量结果是否正常。</w:t>
            </w:r>
          </w:p>
        </w:tc>
      </w:tr>
      <w:tr w14:paraId="6E98C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9864DE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2BA799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FB2FD1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4577FCA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结合电子地图进行示向度测量显示。</w:t>
            </w:r>
          </w:p>
        </w:tc>
      </w:tr>
      <w:tr w14:paraId="01CDD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3EA903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5816D6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1C80456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电子地图检查（若有）</w:t>
            </w:r>
          </w:p>
        </w:tc>
        <w:tc>
          <w:tcPr>
            <w:tcW w:w="2540" w:type="pct"/>
            <w:tcBorders>
              <w:tl2br w:val="nil"/>
              <w:tr2bl w:val="nil"/>
            </w:tcBorders>
            <w:shd w:val="clear" w:color="auto" w:fill="FFFFFF"/>
            <w:vAlign w:val="center"/>
          </w:tcPr>
          <w:p w14:paraId="7A2F486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检查地图是否正确打开，台站图标是否定位正确。</w:t>
            </w:r>
          </w:p>
        </w:tc>
      </w:tr>
      <w:tr w14:paraId="0B2E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1509F5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B2FFE4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077CACD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5EA3506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检查图层是否显示正确、地图工具按钮功能是否正常。</w:t>
            </w:r>
          </w:p>
        </w:tc>
      </w:tr>
      <w:tr w14:paraId="7B842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69A5E3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E7B25C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63471C5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数据记录及管理检查（若有）</w:t>
            </w:r>
          </w:p>
        </w:tc>
        <w:tc>
          <w:tcPr>
            <w:tcW w:w="2540" w:type="pct"/>
            <w:tcBorders>
              <w:tl2br w:val="nil"/>
              <w:tr2bl w:val="nil"/>
            </w:tcBorders>
            <w:shd w:val="clear" w:color="auto" w:fill="FFFFFF"/>
            <w:vAlign w:val="center"/>
          </w:tcPr>
          <w:p w14:paraId="26B2B59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14:paraId="475A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64EABA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80A5C5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18E53FB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770523C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14:paraId="52BC7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554F7BB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043C75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60189D6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3A65F86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14:paraId="1619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1C7488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176AA8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27415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00E3D72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14:paraId="1845C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40DC6FA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5</w:t>
            </w:r>
          </w:p>
        </w:tc>
        <w:tc>
          <w:tcPr>
            <w:tcW w:w="789" w:type="pct"/>
            <w:vMerge w:val="restart"/>
            <w:tcBorders>
              <w:tl2br w:val="nil"/>
              <w:tr2bl w:val="nil"/>
            </w:tcBorders>
            <w:shd w:val="clear" w:color="auto" w:fill="FFFFFF"/>
            <w:vAlign w:val="center"/>
          </w:tcPr>
          <w:p w14:paraId="1DEA29F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控制系统</w:t>
            </w:r>
          </w:p>
        </w:tc>
        <w:tc>
          <w:tcPr>
            <w:tcW w:w="1307" w:type="pct"/>
            <w:tcBorders>
              <w:tl2br w:val="nil"/>
              <w:tr2bl w:val="nil"/>
            </w:tcBorders>
            <w:shd w:val="clear" w:color="auto" w:fill="FFFFFF"/>
            <w:vAlign w:val="center"/>
          </w:tcPr>
          <w:p w14:paraId="063D39F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控制电脑硬件、操作系统检查</w:t>
            </w:r>
          </w:p>
        </w:tc>
        <w:tc>
          <w:tcPr>
            <w:tcW w:w="2540" w:type="pct"/>
            <w:tcBorders>
              <w:tl2br w:val="nil"/>
              <w:tr2bl w:val="nil"/>
            </w:tcBorders>
            <w:shd w:val="clear" w:color="auto" w:fill="FFFFFF"/>
            <w:vAlign w:val="center"/>
          </w:tcPr>
          <w:p w14:paraId="6F4ECA3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控制电脑硬件、外观和操作系统正常。</w:t>
            </w:r>
          </w:p>
        </w:tc>
      </w:tr>
      <w:tr w14:paraId="4463F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B7107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CCEB6F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44D291E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系统安全检查</w:t>
            </w:r>
          </w:p>
        </w:tc>
        <w:tc>
          <w:tcPr>
            <w:tcW w:w="2540" w:type="pct"/>
            <w:tcBorders>
              <w:tl2br w:val="nil"/>
              <w:tr2bl w:val="nil"/>
            </w:tcBorders>
            <w:shd w:val="clear" w:color="auto" w:fill="FFFFFF"/>
            <w:vAlign w:val="center"/>
          </w:tcPr>
          <w:p w14:paraId="00F13E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对系统进行安全测试，对其存在的安全漏洞进行修补，防止病毒的侵入。</w:t>
            </w:r>
          </w:p>
        </w:tc>
      </w:tr>
      <w:tr w14:paraId="21C4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A48723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6CCDF8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F868B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软件检查</w:t>
            </w:r>
          </w:p>
        </w:tc>
        <w:tc>
          <w:tcPr>
            <w:tcW w:w="2540" w:type="pct"/>
            <w:tcBorders>
              <w:tl2br w:val="nil"/>
              <w:tr2bl w:val="nil"/>
            </w:tcBorders>
            <w:shd w:val="clear" w:color="auto" w:fill="FFFFFF"/>
            <w:vAlign w:val="center"/>
          </w:tcPr>
          <w:p w14:paraId="285632F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确定控制系统内部软件工作是否正常，若异常及时对其进行故障判断解决。</w:t>
            </w:r>
          </w:p>
        </w:tc>
      </w:tr>
      <w:tr w14:paraId="3159B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503BC4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81959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6EEE23C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系统备份检查</w:t>
            </w:r>
          </w:p>
        </w:tc>
        <w:tc>
          <w:tcPr>
            <w:tcW w:w="2540" w:type="pct"/>
            <w:tcBorders>
              <w:tl2br w:val="nil"/>
              <w:tr2bl w:val="nil"/>
            </w:tcBorders>
            <w:shd w:val="clear" w:color="auto" w:fill="FFFFFF"/>
            <w:vAlign w:val="center"/>
          </w:tcPr>
          <w:p w14:paraId="0451607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对系统进行备份，以便在发生灾难性故障时能够及时有效的恢复系统。</w:t>
            </w:r>
          </w:p>
        </w:tc>
      </w:tr>
      <w:tr w14:paraId="33E17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5A8B149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6</w:t>
            </w:r>
          </w:p>
        </w:tc>
        <w:tc>
          <w:tcPr>
            <w:tcW w:w="789" w:type="pct"/>
            <w:vMerge w:val="restart"/>
            <w:tcBorders>
              <w:tl2br w:val="nil"/>
              <w:tr2bl w:val="nil"/>
            </w:tcBorders>
            <w:shd w:val="clear" w:color="auto" w:fill="FFFFFF"/>
            <w:vAlign w:val="center"/>
          </w:tcPr>
          <w:p w14:paraId="227B578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网络连接</w:t>
            </w:r>
          </w:p>
        </w:tc>
        <w:tc>
          <w:tcPr>
            <w:tcW w:w="1307" w:type="pct"/>
            <w:tcBorders>
              <w:tl2br w:val="nil"/>
              <w:tr2bl w:val="nil"/>
            </w:tcBorders>
            <w:shd w:val="clear" w:color="auto" w:fill="FFFFFF"/>
            <w:vAlign w:val="center"/>
          </w:tcPr>
          <w:p w14:paraId="3C881A7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交换机硬件检查</w:t>
            </w:r>
          </w:p>
        </w:tc>
        <w:tc>
          <w:tcPr>
            <w:tcW w:w="2540" w:type="pct"/>
            <w:tcBorders>
              <w:tl2br w:val="nil"/>
              <w:tr2bl w:val="nil"/>
            </w:tcBorders>
            <w:shd w:val="clear" w:color="auto" w:fill="FFFFFF"/>
            <w:vAlign w:val="center"/>
          </w:tcPr>
          <w:p w14:paraId="6F49D22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对交换机进行硬件检查，确定其工作状态，及时发现并解决出现的硬件故障。</w:t>
            </w:r>
          </w:p>
        </w:tc>
      </w:tr>
      <w:tr w14:paraId="64342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6A7914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507D10A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2EF7FF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交换机连通性检查</w:t>
            </w:r>
          </w:p>
        </w:tc>
        <w:tc>
          <w:tcPr>
            <w:tcW w:w="2540" w:type="pct"/>
            <w:tcBorders>
              <w:tl2br w:val="nil"/>
              <w:tr2bl w:val="nil"/>
            </w:tcBorders>
            <w:shd w:val="clear" w:color="auto" w:fill="FFFFFF"/>
            <w:vAlign w:val="center"/>
          </w:tcPr>
          <w:p w14:paraId="565AA1F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对交换机进行数据包交换测试。确定其各端口数据交换的联通性。</w:t>
            </w:r>
          </w:p>
        </w:tc>
      </w:tr>
      <w:tr w14:paraId="7719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0A444A2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7</w:t>
            </w:r>
          </w:p>
        </w:tc>
        <w:tc>
          <w:tcPr>
            <w:tcW w:w="789" w:type="pct"/>
            <w:vMerge w:val="restart"/>
            <w:tcBorders>
              <w:tl2br w:val="nil"/>
              <w:tr2bl w:val="nil"/>
            </w:tcBorders>
            <w:shd w:val="clear" w:color="auto" w:fill="FFFFFF"/>
            <w:vAlign w:val="center"/>
          </w:tcPr>
          <w:p w14:paraId="222B8BA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电源系统</w:t>
            </w:r>
          </w:p>
        </w:tc>
        <w:tc>
          <w:tcPr>
            <w:tcW w:w="1307" w:type="pct"/>
            <w:vMerge w:val="restart"/>
            <w:tcBorders>
              <w:tl2br w:val="nil"/>
              <w:tr2bl w:val="nil"/>
            </w:tcBorders>
            <w:shd w:val="clear" w:color="auto" w:fill="FFFFFF"/>
            <w:vAlign w:val="center"/>
          </w:tcPr>
          <w:p w14:paraId="46ACAB0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电源管理模块检查</w:t>
            </w:r>
          </w:p>
        </w:tc>
        <w:tc>
          <w:tcPr>
            <w:tcW w:w="2540" w:type="pct"/>
            <w:tcBorders>
              <w:tl2br w:val="nil"/>
              <w:tr2bl w:val="nil"/>
            </w:tcBorders>
            <w:shd w:val="clear" w:color="auto" w:fill="FFFFFF"/>
            <w:vAlign w:val="center"/>
          </w:tcPr>
          <w:p w14:paraId="4790DE2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车载充电方式。</w:t>
            </w:r>
          </w:p>
        </w:tc>
      </w:tr>
      <w:tr w14:paraId="37D5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4B6991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A71556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0BEC187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014E7BF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市电充电方式。</w:t>
            </w:r>
          </w:p>
        </w:tc>
      </w:tr>
      <w:tr w14:paraId="70614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77FA44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390B87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186F84B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电池状态检查</w:t>
            </w:r>
          </w:p>
        </w:tc>
        <w:tc>
          <w:tcPr>
            <w:tcW w:w="2540" w:type="pct"/>
            <w:tcBorders>
              <w:tl2br w:val="nil"/>
              <w:tr2bl w:val="nil"/>
            </w:tcBorders>
            <w:shd w:val="clear" w:color="auto" w:fill="FFFFFF"/>
            <w:vAlign w:val="center"/>
          </w:tcPr>
          <w:p w14:paraId="7521355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蓄电池是否能正常进行充、放电。</w:t>
            </w:r>
          </w:p>
        </w:tc>
      </w:tr>
      <w:tr w14:paraId="239BC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EC1044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504866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584FE6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73A366A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蓄电池连接处有无松动、腐蚀现象。</w:t>
            </w:r>
          </w:p>
        </w:tc>
      </w:tr>
      <w:tr w14:paraId="48634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DAECC5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FA6215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4AB514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2F8745D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蓄电池外观是否完好、无外壳变形和渗漏。</w:t>
            </w:r>
          </w:p>
        </w:tc>
      </w:tr>
      <w:tr w14:paraId="3021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B1B444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A1336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65FB464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515FBAF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蓄电池的极柱、安全阀周围是否有酸雾溢出。</w:t>
            </w:r>
          </w:p>
        </w:tc>
      </w:tr>
      <w:tr w14:paraId="5E117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CD9D00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6FD348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267E086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供电电压测量</w:t>
            </w:r>
          </w:p>
        </w:tc>
        <w:tc>
          <w:tcPr>
            <w:tcW w:w="2540" w:type="pct"/>
            <w:tcBorders>
              <w:tl2br w:val="nil"/>
              <w:tr2bl w:val="nil"/>
            </w:tcBorders>
            <w:shd w:val="clear" w:color="auto" w:fill="FFFFFF"/>
            <w:vAlign w:val="center"/>
          </w:tcPr>
          <w:p w14:paraId="5446461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分别测量市电电压，稳压电源输出电压、UPS输入输出电压、蓄电池组电压，必要时测量蓄电池单体电压。</w:t>
            </w:r>
          </w:p>
        </w:tc>
      </w:tr>
      <w:tr w14:paraId="41CF4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43A9C93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8</w:t>
            </w:r>
          </w:p>
        </w:tc>
        <w:tc>
          <w:tcPr>
            <w:tcW w:w="789" w:type="pct"/>
            <w:vMerge w:val="restart"/>
            <w:tcBorders>
              <w:tl2br w:val="nil"/>
              <w:tr2bl w:val="nil"/>
            </w:tcBorders>
            <w:shd w:val="clear" w:color="auto" w:fill="FFFFFF"/>
            <w:vAlign w:val="center"/>
          </w:tcPr>
          <w:p w14:paraId="118658B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设备连接</w:t>
            </w:r>
          </w:p>
        </w:tc>
        <w:tc>
          <w:tcPr>
            <w:tcW w:w="1307" w:type="pct"/>
            <w:tcBorders>
              <w:tl2br w:val="nil"/>
              <w:tr2bl w:val="nil"/>
            </w:tcBorders>
            <w:shd w:val="clear" w:color="auto" w:fill="FFFFFF"/>
            <w:vAlign w:val="center"/>
          </w:tcPr>
          <w:p w14:paraId="11A430D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电源连接线检查</w:t>
            </w:r>
          </w:p>
        </w:tc>
        <w:tc>
          <w:tcPr>
            <w:tcW w:w="2540" w:type="pct"/>
            <w:tcBorders>
              <w:tl2br w:val="nil"/>
              <w:tr2bl w:val="nil"/>
            </w:tcBorders>
            <w:shd w:val="clear" w:color="auto" w:fill="FFFFFF"/>
            <w:vAlign w:val="center"/>
          </w:tcPr>
          <w:p w14:paraId="59480FB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设备电源连接线连接固定正常。</w:t>
            </w:r>
          </w:p>
        </w:tc>
      </w:tr>
      <w:tr w14:paraId="5947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7DCE45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6C0401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59CAA6A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数据连接线检查</w:t>
            </w:r>
          </w:p>
        </w:tc>
        <w:tc>
          <w:tcPr>
            <w:tcW w:w="2540" w:type="pct"/>
            <w:tcBorders>
              <w:tl2br w:val="nil"/>
              <w:tr2bl w:val="nil"/>
            </w:tcBorders>
            <w:shd w:val="clear" w:color="auto" w:fill="FFFFFF"/>
            <w:vAlign w:val="center"/>
          </w:tcPr>
          <w:p w14:paraId="1C4C93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设备数据连接线连接固定正常。</w:t>
            </w:r>
          </w:p>
        </w:tc>
      </w:tr>
      <w:tr w14:paraId="581FE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60EBDF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A8F35E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7184A0F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射频线检查</w:t>
            </w:r>
          </w:p>
        </w:tc>
        <w:tc>
          <w:tcPr>
            <w:tcW w:w="2540" w:type="pct"/>
            <w:tcBorders>
              <w:tl2br w:val="nil"/>
              <w:tr2bl w:val="nil"/>
            </w:tcBorders>
            <w:shd w:val="clear" w:color="auto" w:fill="FFFFFF"/>
            <w:vAlign w:val="center"/>
          </w:tcPr>
          <w:p w14:paraId="36944B5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天馈射频连接线连接固定正常。</w:t>
            </w:r>
          </w:p>
        </w:tc>
      </w:tr>
      <w:tr w14:paraId="54A4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4F01129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9</w:t>
            </w:r>
          </w:p>
        </w:tc>
        <w:tc>
          <w:tcPr>
            <w:tcW w:w="789" w:type="pct"/>
            <w:vMerge w:val="restart"/>
            <w:tcBorders>
              <w:tl2br w:val="nil"/>
              <w:tr2bl w:val="nil"/>
            </w:tcBorders>
            <w:shd w:val="clear" w:color="auto" w:fill="FFFFFF"/>
            <w:vAlign w:val="center"/>
          </w:tcPr>
          <w:p w14:paraId="7474BA1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视频图像监视系统（若有）</w:t>
            </w:r>
          </w:p>
        </w:tc>
        <w:tc>
          <w:tcPr>
            <w:tcW w:w="1307" w:type="pct"/>
            <w:tcBorders>
              <w:tl2br w:val="nil"/>
              <w:tr2bl w:val="nil"/>
            </w:tcBorders>
            <w:shd w:val="clear" w:color="auto" w:fill="FFFFFF"/>
            <w:vAlign w:val="center"/>
          </w:tcPr>
          <w:p w14:paraId="2DA5AA0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视频服务器功能检查</w:t>
            </w:r>
          </w:p>
        </w:tc>
        <w:tc>
          <w:tcPr>
            <w:tcW w:w="2540" w:type="pct"/>
            <w:tcBorders>
              <w:tl2br w:val="nil"/>
              <w:tr2bl w:val="nil"/>
            </w:tcBorders>
            <w:shd w:val="clear" w:color="auto" w:fill="FFFFFF"/>
            <w:vAlign w:val="center"/>
          </w:tcPr>
          <w:p w14:paraId="2083F15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0A9C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4229CD1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0347F1F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64F1224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摄像机&amp;云台功能检查</w:t>
            </w:r>
          </w:p>
        </w:tc>
        <w:tc>
          <w:tcPr>
            <w:tcW w:w="2540" w:type="pct"/>
            <w:tcBorders>
              <w:tl2br w:val="nil"/>
              <w:tr2bl w:val="nil"/>
            </w:tcBorders>
            <w:shd w:val="clear" w:color="auto" w:fill="FFFFFF"/>
            <w:vAlign w:val="center"/>
          </w:tcPr>
          <w:p w14:paraId="739E9EC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14:paraId="7587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D06F2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CEC203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042C55D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67675C4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检查设备供电是否为长供电（UPS供电）。</w:t>
            </w:r>
          </w:p>
        </w:tc>
      </w:tr>
      <w:tr w14:paraId="3C0C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0A5E994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F08C56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4EC8FBF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42E6552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监控图像测试（截图）。</w:t>
            </w:r>
          </w:p>
        </w:tc>
      </w:tr>
      <w:tr w14:paraId="7E57A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restart"/>
            <w:tcBorders>
              <w:tl2br w:val="nil"/>
              <w:tr2bl w:val="nil"/>
            </w:tcBorders>
            <w:shd w:val="clear" w:color="auto" w:fill="FFFFFF"/>
            <w:vAlign w:val="center"/>
          </w:tcPr>
          <w:p w14:paraId="235CB77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789" w:type="pct"/>
            <w:vMerge w:val="restart"/>
            <w:tcBorders>
              <w:tl2br w:val="nil"/>
              <w:tr2bl w:val="nil"/>
            </w:tcBorders>
            <w:shd w:val="clear" w:color="auto" w:fill="FFFFFF"/>
            <w:vAlign w:val="center"/>
          </w:tcPr>
          <w:p w14:paraId="2567D15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移动监测车</w:t>
            </w:r>
          </w:p>
        </w:tc>
        <w:tc>
          <w:tcPr>
            <w:tcW w:w="1307" w:type="pct"/>
            <w:vMerge w:val="restart"/>
            <w:tcBorders>
              <w:tl2br w:val="nil"/>
              <w:tr2bl w:val="nil"/>
            </w:tcBorders>
            <w:shd w:val="clear" w:color="auto" w:fill="FFFFFF"/>
            <w:vAlign w:val="center"/>
          </w:tcPr>
          <w:p w14:paraId="515166A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车况检查</w:t>
            </w:r>
          </w:p>
        </w:tc>
        <w:tc>
          <w:tcPr>
            <w:tcW w:w="2540" w:type="pct"/>
            <w:tcBorders>
              <w:tl2br w:val="nil"/>
              <w:tr2bl w:val="nil"/>
            </w:tcBorders>
            <w:shd w:val="clear" w:color="auto" w:fill="FFFFFF"/>
            <w:vAlign w:val="center"/>
          </w:tcPr>
          <w:p w14:paraId="69A817F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对车辆外观、轮胎、灯光、转向、制动系统及各部分润滑油（脂）、燃油、冷却液、制动液等进行检查。</w:t>
            </w:r>
          </w:p>
        </w:tc>
      </w:tr>
      <w:tr w14:paraId="2458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29A771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44EA346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7A32403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609C841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保持监测车车内环境整洁，各监测设备周围禁止堆放杂物。</w:t>
            </w:r>
          </w:p>
        </w:tc>
      </w:tr>
      <w:tr w14:paraId="64CEE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3224FD0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48CABB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403F6EA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159A373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保持车内通风、干燥、环境良好。</w:t>
            </w:r>
          </w:p>
        </w:tc>
      </w:tr>
      <w:tr w14:paraId="0BFC3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728176E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1F64E0A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64ADB1C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车载设备检查</w:t>
            </w:r>
          </w:p>
        </w:tc>
        <w:tc>
          <w:tcPr>
            <w:tcW w:w="2540" w:type="pct"/>
            <w:tcBorders>
              <w:tl2br w:val="nil"/>
              <w:tr2bl w:val="nil"/>
            </w:tcBorders>
            <w:shd w:val="clear" w:color="auto" w:fill="FFFFFF"/>
            <w:vAlign w:val="center"/>
          </w:tcPr>
          <w:p w14:paraId="46F2DE1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清理设备积灰，定期通电，检查车内各设备运行是否正常。</w:t>
            </w:r>
          </w:p>
        </w:tc>
      </w:tr>
      <w:tr w14:paraId="34E5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9ADEC3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30A252B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26D189D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20A0980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车载消防设备检查，如检查灭火系统维护情况，检查灭火器是否过期或压力不足等。</w:t>
            </w:r>
          </w:p>
        </w:tc>
      </w:tr>
      <w:tr w14:paraId="6887F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728F728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11964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52CB0E9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35625C6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检查机柜散热风扇运行情况，检查机柜及设备紧固性。</w:t>
            </w:r>
          </w:p>
        </w:tc>
      </w:tr>
      <w:tr w14:paraId="5CCCB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CF232C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2627356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14:paraId="359203A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车辆行驶检查</w:t>
            </w:r>
          </w:p>
        </w:tc>
        <w:tc>
          <w:tcPr>
            <w:tcW w:w="2540" w:type="pct"/>
            <w:tcBorders>
              <w:tl2br w:val="nil"/>
              <w:tr2bl w:val="nil"/>
            </w:tcBorders>
            <w:shd w:val="clear" w:color="auto" w:fill="FFFFFF"/>
            <w:vAlign w:val="center"/>
          </w:tcPr>
          <w:p w14:paraId="487DAB3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检查车辆机柜防震效果是否正常。</w:t>
            </w:r>
          </w:p>
        </w:tc>
      </w:tr>
      <w:tr w14:paraId="39CB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2294438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0F631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14:paraId="76EC8F0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车库检查</w:t>
            </w:r>
          </w:p>
        </w:tc>
        <w:tc>
          <w:tcPr>
            <w:tcW w:w="2540" w:type="pct"/>
            <w:tcBorders>
              <w:tl2br w:val="nil"/>
              <w:tr2bl w:val="nil"/>
            </w:tcBorders>
            <w:shd w:val="clear" w:color="auto" w:fill="FFFFFF"/>
            <w:vAlign w:val="center"/>
          </w:tcPr>
          <w:p w14:paraId="413BB9C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监测车应配有专用车库，检查车库内的市电插座。</w:t>
            </w:r>
          </w:p>
        </w:tc>
      </w:tr>
      <w:tr w14:paraId="5463F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73D16F1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14:paraId="71E70C8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14:paraId="5CA77B9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14:paraId="409D298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检查车库内不得存放无关杂物，保持车库整洁。</w:t>
            </w:r>
          </w:p>
        </w:tc>
      </w:tr>
    </w:tbl>
    <w:p w14:paraId="1825D08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便携式监测设备</w:t>
      </w:r>
    </w:p>
    <w:tbl>
      <w:tblPr>
        <w:tblStyle w:val="10"/>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588"/>
        <w:gridCol w:w="1341"/>
        <w:gridCol w:w="2154"/>
        <w:gridCol w:w="4230"/>
      </w:tblGrid>
      <w:tr w14:paraId="4C3C7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D49FA">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序</w:t>
            </w:r>
          </w:p>
          <w:p w14:paraId="23D2889B">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号</w:t>
            </w:r>
          </w:p>
        </w:tc>
        <w:tc>
          <w:tcPr>
            <w:tcW w:w="806" w:type="pct"/>
            <w:tcBorders>
              <w:top w:val="single" w:color="000000" w:sz="4" w:space="0"/>
              <w:left w:val="nil"/>
              <w:bottom w:val="single" w:color="000000" w:sz="4" w:space="0"/>
              <w:right w:val="single" w:color="000000" w:sz="4" w:space="0"/>
            </w:tcBorders>
            <w:shd w:val="clear" w:color="auto" w:fill="FFFFFF"/>
            <w:vAlign w:val="center"/>
          </w:tcPr>
          <w:p w14:paraId="2481F051">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巡检设备</w:t>
            </w:r>
          </w:p>
        </w:tc>
        <w:tc>
          <w:tcPr>
            <w:tcW w:w="1295" w:type="pct"/>
            <w:tcBorders>
              <w:top w:val="single" w:color="000000" w:sz="4" w:space="0"/>
              <w:left w:val="nil"/>
              <w:bottom w:val="single" w:color="000000" w:sz="4" w:space="0"/>
              <w:right w:val="single" w:color="000000" w:sz="4" w:space="0"/>
            </w:tcBorders>
            <w:shd w:val="clear" w:color="auto" w:fill="FFFFFF"/>
            <w:vAlign w:val="center"/>
          </w:tcPr>
          <w:p w14:paraId="41A41809">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巡检项目</w:t>
            </w:r>
          </w:p>
        </w:tc>
        <w:tc>
          <w:tcPr>
            <w:tcW w:w="2543" w:type="pct"/>
            <w:tcBorders>
              <w:top w:val="single" w:color="000000" w:sz="4" w:space="0"/>
              <w:left w:val="nil"/>
              <w:bottom w:val="single" w:color="000000" w:sz="4" w:space="0"/>
              <w:right w:val="single" w:color="000000" w:sz="4" w:space="0"/>
            </w:tcBorders>
            <w:shd w:val="clear" w:color="auto" w:fill="FFFFFF"/>
            <w:vAlign w:val="center"/>
          </w:tcPr>
          <w:p w14:paraId="18C30E36">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巡检要求</w:t>
            </w:r>
          </w:p>
        </w:tc>
      </w:tr>
      <w:tr w14:paraId="63AFE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restart"/>
            <w:tcBorders>
              <w:top w:val="nil"/>
              <w:left w:val="single" w:color="000000" w:sz="4" w:space="0"/>
              <w:bottom w:val="single" w:color="000000" w:sz="4" w:space="0"/>
              <w:right w:val="single" w:color="000000" w:sz="4" w:space="0"/>
            </w:tcBorders>
            <w:shd w:val="clear" w:color="auto" w:fill="FFFFFF"/>
            <w:vAlign w:val="center"/>
          </w:tcPr>
          <w:p w14:paraId="2D1CD7C1">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806" w:type="pct"/>
            <w:vMerge w:val="restart"/>
            <w:tcBorders>
              <w:top w:val="nil"/>
              <w:left w:val="nil"/>
              <w:bottom w:val="single" w:color="000000" w:sz="4" w:space="0"/>
              <w:right w:val="single" w:color="000000" w:sz="4" w:space="0"/>
            </w:tcBorders>
            <w:shd w:val="clear" w:color="auto" w:fill="FFFFFF"/>
            <w:vAlign w:val="center"/>
          </w:tcPr>
          <w:p w14:paraId="16E83186">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接收机</w:t>
            </w:r>
          </w:p>
        </w:tc>
        <w:tc>
          <w:tcPr>
            <w:tcW w:w="1295" w:type="pct"/>
            <w:vMerge w:val="restart"/>
            <w:tcBorders>
              <w:top w:val="nil"/>
              <w:left w:val="nil"/>
              <w:bottom w:val="single" w:color="000000" w:sz="4" w:space="0"/>
              <w:right w:val="single" w:color="000000" w:sz="4" w:space="0"/>
            </w:tcBorders>
            <w:shd w:val="clear" w:color="auto" w:fill="FFFFFF"/>
            <w:vAlign w:val="center"/>
          </w:tcPr>
          <w:p w14:paraId="10753370">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接收机功能性检查</w:t>
            </w:r>
          </w:p>
        </w:tc>
        <w:tc>
          <w:tcPr>
            <w:tcW w:w="2543" w:type="pct"/>
            <w:tcBorders>
              <w:top w:val="nil"/>
              <w:left w:val="nil"/>
              <w:bottom w:val="single" w:color="000000" w:sz="4" w:space="0"/>
              <w:right w:val="single" w:color="000000" w:sz="4" w:space="0"/>
            </w:tcBorders>
            <w:shd w:val="clear" w:color="auto" w:fill="FFFFFF"/>
            <w:vAlign w:val="center"/>
          </w:tcPr>
          <w:p w14:paraId="17639E74">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设备外观检查，连接线检查整理。</w:t>
            </w:r>
          </w:p>
        </w:tc>
      </w:tr>
      <w:tr w14:paraId="52CCC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7622570C">
            <w:pPr>
              <w:jc w:val="both"/>
              <w:rPr>
                <w:rFonts w:hint="eastAsia" w:ascii="宋体" w:hAnsi="宋体" w:eastAsia="宋体" w:cs="宋体"/>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4B0A3E42">
            <w:pPr>
              <w:jc w:val="both"/>
              <w:rPr>
                <w:rFonts w:hint="eastAsia" w:ascii="宋体" w:hAnsi="宋体" w:eastAsia="宋体" w:cs="宋体"/>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14EC45B0">
            <w:pPr>
              <w:jc w:val="both"/>
              <w:rPr>
                <w:rFonts w:hint="eastAsia" w:ascii="宋体" w:hAnsi="宋体" w:eastAsia="宋体" w:cs="宋体"/>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6FF21BE6">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设备开机自检是否正常。</w:t>
            </w:r>
          </w:p>
        </w:tc>
      </w:tr>
      <w:tr w14:paraId="2237C6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51D22436">
            <w:pPr>
              <w:jc w:val="both"/>
              <w:rPr>
                <w:rFonts w:hint="eastAsia" w:ascii="宋体" w:hAnsi="宋体" w:eastAsia="宋体" w:cs="宋体"/>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46905517">
            <w:pPr>
              <w:jc w:val="both"/>
              <w:rPr>
                <w:rFonts w:hint="eastAsia" w:ascii="宋体" w:hAnsi="宋体" w:eastAsia="宋体" w:cs="宋体"/>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0044FDF6">
            <w:pPr>
              <w:jc w:val="both"/>
              <w:rPr>
                <w:rFonts w:hint="eastAsia" w:ascii="宋体" w:hAnsi="宋体" w:eastAsia="宋体" w:cs="宋体"/>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37FCCEA3">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设备基本状态检查。</w:t>
            </w:r>
          </w:p>
        </w:tc>
      </w:tr>
      <w:tr w14:paraId="6311B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7203F7E5">
            <w:pPr>
              <w:jc w:val="both"/>
              <w:rPr>
                <w:rFonts w:hint="eastAsia" w:ascii="宋体" w:hAnsi="宋体" w:eastAsia="宋体" w:cs="宋体"/>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3843B589">
            <w:pPr>
              <w:jc w:val="both"/>
              <w:rPr>
                <w:rFonts w:hint="eastAsia" w:ascii="宋体" w:hAnsi="宋体" w:eastAsia="宋体" w:cs="宋体"/>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707706E8">
            <w:pPr>
              <w:jc w:val="both"/>
              <w:rPr>
                <w:rFonts w:hint="eastAsia" w:ascii="宋体" w:hAnsi="宋体" w:eastAsia="宋体" w:cs="宋体"/>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16737C3B">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接收机性能检查。</w:t>
            </w:r>
          </w:p>
        </w:tc>
      </w:tr>
      <w:tr w14:paraId="1CB3CC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73CC2BCC">
            <w:pPr>
              <w:jc w:val="both"/>
              <w:rPr>
                <w:rFonts w:hint="eastAsia" w:ascii="宋体" w:hAnsi="宋体" w:eastAsia="宋体" w:cs="宋体"/>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1307E1E5">
            <w:pPr>
              <w:jc w:val="both"/>
              <w:rPr>
                <w:rFonts w:hint="eastAsia" w:ascii="宋体" w:hAnsi="宋体" w:eastAsia="宋体" w:cs="宋体"/>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68377281">
            <w:pPr>
              <w:jc w:val="both"/>
              <w:rPr>
                <w:rFonts w:hint="eastAsia" w:ascii="宋体" w:hAnsi="宋体" w:eastAsia="宋体" w:cs="宋体"/>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268C53F1">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电池是否能正常进行充、放电。</w:t>
            </w:r>
          </w:p>
        </w:tc>
      </w:tr>
    </w:tbl>
    <w:p w14:paraId="5A4C342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无线电控制中心</w:t>
      </w:r>
    </w:p>
    <w:tbl>
      <w:tblPr>
        <w:tblStyle w:val="10"/>
        <w:tblW w:w="500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43"/>
        <w:gridCol w:w="1156"/>
        <w:gridCol w:w="1505"/>
        <w:gridCol w:w="5019"/>
      </w:tblGrid>
      <w:tr w14:paraId="3ECB9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1F15E">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序号</w:t>
            </w:r>
          </w:p>
        </w:tc>
        <w:tc>
          <w:tcPr>
            <w:tcW w:w="694" w:type="pct"/>
            <w:tcBorders>
              <w:top w:val="single" w:color="000000" w:sz="4" w:space="0"/>
              <w:left w:val="nil"/>
              <w:bottom w:val="single" w:color="000000" w:sz="4" w:space="0"/>
              <w:right w:val="single" w:color="000000" w:sz="4" w:space="0"/>
            </w:tcBorders>
            <w:shd w:val="clear" w:color="auto" w:fill="FFFFFF"/>
            <w:vAlign w:val="center"/>
          </w:tcPr>
          <w:p w14:paraId="519F06B5">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巡检设备</w:t>
            </w:r>
          </w:p>
        </w:tc>
        <w:tc>
          <w:tcPr>
            <w:tcW w:w="904" w:type="pct"/>
            <w:tcBorders>
              <w:top w:val="single" w:color="000000" w:sz="4" w:space="0"/>
              <w:left w:val="nil"/>
              <w:bottom w:val="single" w:color="000000" w:sz="4" w:space="0"/>
              <w:right w:val="single" w:color="000000" w:sz="4" w:space="0"/>
            </w:tcBorders>
            <w:shd w:val="clear" w:color="auto" w:fill="FFFFFF"/>
            <w:vAlign w:val="center"/>
          </w:tcPr>
          <w:p w14:paraId="714628AD">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巡检项目</w:t>
            </w:r>
          </w:p>
        </w:tc>
        <w:tc>
          <w:tcPr>
            <w:tcW w:w="3014" w:type="pct"/>
            <w:tcBorders>
              <w:top w:val="single" w:color="000000" w:sz="4" w:space="0"/>
              <w:left w:val="nil"/>
              <w:bottom w:val="single" w:color="000000" w:sz="4" w:space="0"/>
              <w:right w:val="single" w:color="000000" w:sz="4" w:space="0"/>
            </w:tcBorders>
            <w:shd w:val="clear" w:color="auto" w:fill="FFFFFF"/>
            <w:vAlign w:val="center"/>
          </w:tcPr>
          <w:p w14:paraId="5000DC5B">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巡检要求</w:t>
            </w:r>
          </w:p>
        </w:tc>
      </w:tr>
      <w:tr w14:paraId="22ED0E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0CF73B60">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694" w:type="pct"/>
            <w:vMerge w:val="restart"/>
            <w:tcBorders>
              <w:top w:val="nil"/>
              <w:left w:val="nil"/>
              <w:bottom w:val="single" w:color="000000" w:sz="4" w:space="0"/>
              <w:right w:val="single" w:color="000000" w:sz="4" w:space="0"/>
            </w:tcBorders>
            <w:shd w:val="clear" w:color="auto" w:fill="FFFFFF"/>
            <w:vAlign w:val="center"/>
          </w:tcPr>
          <w:p w14:paraId="65E0220D">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控制系统</w:t>
            </w:r>
          </w:p>
        </w:tc>
        <w:tc>
          <w:tcPr>
            <w:tcW w:w="904" w:type="pct"/>
            <w:tcBorders>
              <w:top w:val="nil"/>
              <w:left w:val="nil"/>
              <w:bottom w:val="single" w:color="000000" w:sz="4" w:space="0"/>
              <w:right w:val="single" w:color="000000" w:sz="4" w:space="0"/>
            </w:tcBorders>
            <w:shd w:val="clear" w:color="auto" w:fill="FFFFFF"/>
            <w:vAlign w:val="center"/>
          </w:tcPr>
          <w:p w14:paraId="6247139C">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控制端硬件、操作系统检查</w:t>
            </w:r>
          </w:p>
        </w:tc>
        <w:tc>
          <w:tcPr>
            <w:tcW w:w="3014" w:type="pct"/>
            <w:tcBorders>
              <w:top w:val="nil"/>
              <w:left w:val="nil"/>
              <w:bottom w:val="single" w:color="000000" w:sz="4" w:space="0"/>
              <w:right w:val="single" w:color="000000" w:sz="4" w:space="0"/>
            </w:tcBorders>
            <w:shd w:val="clear" w:color="auto" w:fill="FFFFFF"/>
            <w:vAlign w:val="center"/>
          </w:tcPr>
          <w:p w14:paraId="3811B357">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控制电脑和服务期的硬件、外观和操作系统正常。</w:t>
            </w:r>
          </w:p>
        </w:tc>
      </w:tr>
      <w:tr w14:paraId="77669D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107BEE6">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1A25B3F">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6A3B2943">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系统安全检查</w:t>
            </w:r>
          </w:p>
        </w:tc>
        <w:tc>
          <w:tcPr>
            <w:tcW w:w="3014" w:type="pct"/>
            <w:tcBorders>
              <w:top w:val="nil"/>
              <w:left w:val="nil"/>
              <w:bottom w:val="single" w:color="000000" w:sz="4" w:space="0"/>
              <w:right w:val="single" w:color="000000" w:sz="4" w:space="0"/>
            </w:tcBorders>
            <w:shd w:val="clear" w:color="auto" w:fill="FFFFFF"/>
            <w:vAlign w:val="center"/>
          </w:tcPr>
          <w:p w14:paraId="49822A4C">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对系统进行安全测试，对其存在的安全漏洞进行修补，防止病毒的侵入。</w:t>
            </w:r>
          </w:p>
        </w:tc>
      </w:tr>
      <w:tr w14:paraId="3EBC7C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AB79D58">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A824579">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8B55203">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软件检查</w:t>
            </w:r>
          </w:p>
        </w:tc>
        <w:tc>
          <w:tcPr>
            <w:tcW w:w="3014" w:type="pct"/>
            <w:tcBorders>
              <w:top w:val="nil"/>
              <w:left w:val="nil"/>
              <w:bottom w:val="single" w:color="000000" w:sz="4" w:space="0"/>
              <w:right w:val="single" w:color="000000" w:sz="4" w:space="0"/>
            </w:tcBorders>
            <w:shd w:val="clear" w:color="auto" w:fill="FFFFFF"/>
            <w:vAlign w:val="center"/>
          </w:tcPr>
          <w:p w14:paraId="45E7329E">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确定控制系统内部软件工作是否正常，若异常及时对其进行故障判断解决。</w:t>
            </w:r>
          </w:p>
        </w:tc>
      </w:tr>
      <w:tr w14:paraId="25412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0F081D6">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61A8BDA">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421C1BC">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系统备份检查</w:t>
            </w:r>
          </w:p>
        </w:tc>
        <w:tc>
          <w:tcPr>
            <w:tcW w:w="3014" w:type="pct"/>
            <w:tcBorders>
              <w:top w:val="nil"/>
              <w:left w:val="nil"/>
              <w:bottom w:val="single" w:color="000000" w:sz="4" w:space="0"/>
              <w:right w:val="single" w:color="000000" w:sz="4" w:space="0"/>
            </w:tcBorders>
            <w:shd w:val="clear" w:color="auto" w:fill="FFFFFF"/>
            <w:vAlign w:val="center"/>
          </w:tcPr>
          <w:p w14:paraId="21BFD0C1">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对系统进行备份，以便在发生灾难性故障时能够及时有效的恢复系统。</w:t>
            </w:r>
          </w:p>
        </w:tc>
      </w:tr>
      <w:tr w14:paraId="18C23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13EFDEB4">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694" w:type="pct"/>
            <w:vMerge w:val="restart"/>
            <w:tcBorders>
              <w:top w:val="nil"/>
              <w:left w:val="nil"/>
              <w:bottom w:val="single" w:color="000000" w:sz="4" w:space="0"/>
              <w:right w:val="single" w:color="000000" w:sz="4" w:space="0"/>
            </w:tcBorders>
            <w:shd w:val="clear" w:color="auto" w:fill="FFFFFF"/>
            <w:vAlign w:val="center"/>
          </w:tcPr>
          <w:p w14:paraId="2395E342">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网络连接</w:t>
            </w:r>
          </w:p>
        </w:tc>
        <w:tc>
          <w:tcPr>
            <w:tcW w:w="904" w:type="pct"/>
            <w:tcBorders>
              <w:top w:val="nil"/>
              <w:left w:val="nil"/>
              <w:bottom w:val="single" w:color="000000" w:sz="4" w:space="0"/>
              <w:right w:val="single" w:color="000000" w:sz="4" w:space="0"/>
            </w:tcBorders>
            <w:shd w:val="clear" w:color="auto" w:fill="FFFFFF"/>
            <w:vAlign w:val="center"/>
          </w:tcPr>
          <w:p w14:paraId="1BE0E178">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路由器硬件检查</w:t>
            </w:r>
          </w:p>
        </w:tc>
        <w:tc>
          <w:tcPr>
            <w:tcW w:w="3014" w:type="pct"/>
            <w:tcBorders>
              <w:top w:val="nil"/>
              <w:left w:val="nil"/>
              <w:bottom w:val="single" w:color="000000" w:sz="4" w:space="0"/>
              <w:right w:val="single" w:color="000000" w:sz="4" w:space="0"/>
            </w:tcBorders>
            <w:shd w:val="clear" w:color="auto" w:fill="FFFFFF"/>
            <w:vAlign w:val="center"/>
          </w:tcPr>
          <w:p w14:paraId="7BC4D2E0">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检查路由器硬件，根据具体的硬件环境确定其工作状态。</w:t>
            </w:r>
          </w:p>
        </w:tc>
      </w:tr>
      <w:tr w14:paraId="20BDAA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E556CD0">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3418634">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2132BA2">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路由器连通性、安全性检查</w:t>
            </w:r>
          </w:p>
        </w:tc>
        <w:tc>
          <w:tcPr>
            <w:tcW w:w="3014" w:type="pct"/>
            <w:tcBorders>
              <w:top w:val="nil"/>
              <w:left w:val="nil"/>
              <w:bottom w:val="single" w:color="000000" w:sz="4" w:space="0"/>
              <w:right w:val="single" w:color="000000" w:sz="4" w:space="0"/>
            </w:tcBorders>
            <w:shd w:val="clear" w:color="auto" w:fill="FFFFFF"/>
            <w:vAlign w:val="center"/>
          </w:tcPr>
          <w:p w14:paraId="09D3EFF1">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对路由器进行网络联通性和安全测试，发现并对所发现的安全漏洞进行处理。</w:t>
            </w:r>
          </w:p>
        </w:tc>
      </w:tr>
      <w:tr w14:paraId="55BA3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A5EBF1E">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94A2DDD">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0B174A4">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交换机硬件检查</w:t>
            </w:r>
          </w:p>
        </w:tc>
        <w:tc>
          <w:tcPr>
            <w:tcW w:w="3014" w:type="pct"/>
            <w:tcBorders>
              <w:top w:val="nil"/>
              <w:left w:val="nil"/>
              <w:bottom w:val="single" w:color="000000" w:sz="4" w:space="0"/>
              <w:right w:val="single" w:color="000000" w:sz="4" w:space="0"/>
            </w:tcBorders>
            <w:shd w:val="clear" w:color="auto" w:fill="FFFFFF"/>
            <w:vAlign w:val="center"/>
          </w:tcPr>
          <w:p w14:paraId="5BA3670F">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对交换机进行硬件检查，确定其工作状态，及时发现并解决出现的硬件故障。</w:t>
            </w:r>
          </w:p>
        </w:tc>
      </w:tr>
      <w:tr w14:paraId="755D64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10F2113">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3A148A7">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4C0078B4">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交换机联通性检查</w:t>
            </w:r>
          </w:p>
        </w:tc>
        <w:tc>
          <w:tcPr>
            <w:tcW w:w="3014" w:type="pct"/>
            <w:tcBorders>
              <w:top w:val="nil"/>
              <w:left w:val="nil"/>
              <w:bottom w:val="single" w:color="000000" w:sz="4" w:space="0"/>
              <w:right w:val="single" w:color="000000" w:sz="4" w:space="0"/>
            </w:tcBorders>
            <w:shd w:val="clear" w:color="auto" w:fill="FFFFFF"/>
            <w:vAlign w:val="center"/>
          </w:tcPr>
          <w:p w14:paraId="4D9ED6AB">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对交换机进行数据包交换测试。确定其各端口数据交换的联通性。</w:t>
            </w:r>
          </w:p>
        </w:tc>
      </w:tr>
      <w:tr w14:paraId="04E85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2E820C68">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694" w:type="pct"/>
            <w:vMerge w:val="restart"/>
            <w:tcBorders>
              <w:top w:val="nil"/>
              <w:left w:val="nil"/>
              <w:bottom w:val="single" w:color="000000" w:sz="4" w:space="0"/>
              <w:right w:val="single" w:color="000000" w:sz="4" w:space="0"/>
            </w:tcBorders>
            <w:shd w:val="clear" w:color="auto" w:fill="FFFFFF"/>
            <w:vAlign w:val="center"/>
          </w:tcPr>
          <w:p w14:paraId="4884CDB9">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应用软件</w:t>
            </w:r>
          </w:p>
        </w:tc>
        <w:tc>
          <w:tcPr>
            <w:tcW w:w="904" w:type="pct"/>
            <w:tcBorders>
              <w:top w:val="nil"/>
              <w:left w:val="nil"/>
              <w:bottom w:val="single" w:color="000000" w:sz="4" w:space="0"/>
              <w:right w:val="single" w:color="000000" w:sz="4" w:space="0"/>
            </w:tcBorders>
            <w:shd w:val="clear" w:color="auto" w:fill="FFFFFF"/>
            <w:vAlign w:val="center"/>
          </w:tcPr>
          <w:p w14:paraId="14A3FF5F">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监测系统软件</w:t>
            </w:r>
          </w:p>
        </w:tc>
        <w:tc>
          <w:tcPr>
            <w:tcW w:w="3014" w:type="pct"/>
            <w:tcBorders>
              <w:top w:val="nil"/>
              <w:left w:val="nil"/>
              <w:bottom w:val="single" w:color="000000" w:sz="4" w:space="0"/>
              <w:right w:val="single" w:color="000000" w:sz="4" w:space="0"/>
            </w:tcBorders>
            <w:shd w:val="clear" w:color="auto" w:fill="FFFFFF"/>
            <w:vAlign w:val="center"/>
          </w:tcPr>
          <w:p w14:paraId="7820FAF7">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检查软件是否正常开启，能否正常控制接收机并分析、处理、保存监测数据。</w:t>
            </w:r>
          </w:p>
        </w:tc>
      </w:tr>
      <w:tr w14:paraId="4DB0D1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24D10F7">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E2EADBF">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2C7569E7">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办公系统</w:t>
            </w:r>
          </w:p>
        </w:tc>
        <w:tc>
          <w:tcPr>
            <w:tcW w:w="3014" w:type="pct"/>
            <w:tcBorders>
              <w:top w:val="nil"/>
              <w:left w:val="nil"/>
              <w:bottom w:val="single" w:color="000000" w:sz="4" w:space="0"/>
              <w:right w:val="single" w:color="000000" w:sz="4" w:space="0"/>
            </w:tcBorders>
            <w:shd w:val="clear" w:color="auto" w:fill="FFFFFF"/>
            <w:vAlign w:val="center"/>
          </w:tcPr>
          <w:p w14:paraId="5E5A98C6">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6E1BA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965B445">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1349CFD">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FDC14B1">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信息安全防护软件</w:t>
            </w:r>
          </w:p>
        </w:tc>
        <w:tc>
          <w:tcPr>
            <w:tcW w:w="3014" w:type="pct"/>
            <w:tcBorders>
              <w:top w:val="nil"/>
              <w:left w:val="nil"/>
              <w:bottom w:val="single" w:color="000000" w:sz="4" w:space="0"/>
              <w:right w:val="single" w:color="000000" w:sz="4" w:space="0"/>
            </w:tcBorders>
            <w:shd w:val="clear" w:color="auto" w:fill="FFFFFF"/>
            <w:vAlign w:val="center"/>
          </w:tcPr>
          <w:p w14:paraId="61D2653B">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检查是否安装并开启信息安全防护软件。</w:t>
            </w:r>
          </w:p>
        </w:tc>
      </w:tr>
      <w:tr w14:paraId="2F1A6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E33CA86">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70E7480">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F0D5801">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视频会议系统软件</w:t>
            </w:r>
          </w:p>
        </w:tc>
        <w:tc>
          <w:tcPr>
            <w:tcW w:w="3014" w:type="pct"/>
            <w:tcBorders>
              <w:top w:val="nil"/>
              <w:left w:val="nil"/>
              <w:bottom w:val="single" w:color="000000" w:sz="4" w:space="0"/>
              <w:right w:val="single" w:color="000000" w:sz="4" w:space="0"/>
            </w:tcBorders>
            <w:shd w:val="clear" w:color="auto" w:fill="FFFFFF"/>
            <w:vAlign w:val="center"/>
          </w:tcPr>
          <w:p w14:paraId="11E7F8C9">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16C87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6C48553">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787E9F8">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2BE8C884">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其他应用软件</w:t>
            </w:r>
          </w:p>
        </w:tc>
        <w:tc>
          <w:tcPr>
            <w:tcW w:w="3014" w:type="pct"/>
            <w:tcBorders>
              <w:top w:val="nil"/>
              <w:left w:val="nil"/>
              <w:bottom w:val="single" w:color="000000" w:sz="4" w:space="0"/>
              <w:right w:val="single" w:color="000000" w:sz="4" w:space="0"/>
            </w:tcBorders>
            <w:shd w:val="clear" w:color="auto" w:fill="FFFFFF"/>
            <w:vAlign w:val="center"/>
          </w:tcPr>
          <w:p w14:paraId="44EF3106">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620AC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1517E70F">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694" w:type="pct"/>
            <w:vMerge w:val="restart"/>
            <w:tcBorders>
              <w:top w:val="nil"/>
              <w:left w:val="nil"/>
              <w:bottom w:val="single" w:color="000000" w:sz="4" w:space="0"/>
              <w:right w:val="single" w:color="000000" w:sz="4" w:space="0"/>
            </w:tcBorders>
            <w:shd w:val="clear" w:color="auto" w:fill="FFFFFF"/>
            <w:vAlign w:val="center"/>
          </w:tcPr>
          <w:p w14:paraId="7A91A6A7">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视频会议系统</w:t>
            </w:r>
          </w:p>
        </w:tc>
        <w:tc>
          <w:tcPr>
            <w:tcW w:w="904" w:type="pct"/>
            <w:tcBorders>
              <w:top w:val="nil"/>
              <w:left w:val="nil"/>
              <w:bottom w:val="single" w:color="000000" w:sz="4" w:space="0"/>
              <w:right w:val="single" w:color="000000" w:sz="4" w:space="0"/>
            </w:tcBorders>
            <w:shd w:val="clear" w:color="auto" w:fill="FFFFFF"/>
            <w:vAlign w:val="center"/>
          </w:tcPr>
          <w:p w14:paraId="74FA6EFD">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大屏显示设备检查</w:t>
            </w:r>
          </w:p>
        </w:tc>
        <w:tc>
          <w:tcPr>
            <w:tcW w:w="3014" w:type="pct"/>
            <w:tcBorders>
              <w:top w:val="nil"/>
              <w:left w:val="nil"/>
              <w:bottom w:val="single" w:color="000000" w:sz="4" w:space="0"/>
              <w:right w:val="single" w:color="000000" w:sz="4" w:space="0"/>
            </w:tcBorders>
            <w:shd w:val="clear" w:color="auto" w:fill="FFFFFF"/>
            <w:vAlign w:val="center"/>
          </w:tcPr>
          <w:p w14:paraId="436B435B">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23F7E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56EAF1C">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7E71DD2">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44B8D2E">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音响设备检查</w:t>
            </w:r>
          </w:p>
        </w:tc>
        <w:tc>
          <w:tcPr>
            <w:tcW w:w="3014" w:type="pct"/>
            <w:tcBorders>
              <w:top w:val="nil"/>
              <w:left w:val="nil"/>
              <w:bottom w:val="single" w:color="000000" w:sz="4" w:space="0"/>
              <w:right w:val="single" w:color="000000" w:sz="4" w:space="0"/>
            </w:tcBorders>
            <w:shd w:val="clear" w:color="auto" w:fill="FFFFFF"/>
            <w:vAlign w:val="center"/>
          </w:tcPr>
          <w:p w14:paraId="5D717694">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33EC0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C49945C">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46AE602">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4849766">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视频会议设备检查</w:t>
            </w:r>
          </w:p>
        </w:tc>
        <w:tc>
          <w:tcPr>
            <w:tcW w:w="3014" w:type="pct"/>
            <w:tcBorders>
              <w:top w:val="nil"/>
              <w:left w:val="nil"/>
              <w:bottom w:val="single" w:color="000000" w:sz="4" w:space="0"/>
              <w:right w:val="single" w:color="000000" w:sz="4" w:space="0"/>
            </w:tcBorders>
            <w:shd w:val="clear" w:color="auto" w:fill="FFFFFF"/>
            <w:vAlign w:val="center"/>
          </w:tcPr>
          <w:p w14:paraId="4AAB22EC">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43128F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2DF3B4B">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2495C64">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6B8A1752">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机房集成设备检查</w:t>
            </w:r>
          </w:p>
        </w:tc>
        <w:tc>
          <w:tcPr>
            <w:tcW w:w="3014" w:type="pct"/>
            <w:tcBorders>
              <w:top w:val="nil"/>
              <w:left w:val="nil"/>
              <w:bottom w:val="single" w:color="000000" w:sz="4" w:space="0"/>
              <w:right w:val="single" w:color="000000" w:sz="4" w:space="0"/>
            </w:tcBorders>
            <w:shd w:val="clear" w:color="auto" w:fill="FFFFFF"/>
            <w:vAlign w:val="center"/>
          </w:tcPr>
          <w:p w14:paraId="34305765">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59D9D0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5BE398F">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526CF79">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5DA1CC9">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机房配件检查</w:t>
            </w:r>
          </w:p>
        </w:tc>
        <w:tc>
          <w:tcPr>
            <w:tcW w:w="3014" w:type="pct"/>
            <w:tcBorders>
              <w:top w:val="nil"/>
              <w:left w:val="nil"/>
              <w:bottom w:val="single" w:color="000000" w:sz="4" w:space="0"/>
              <w:right w:val="single" w:color="000000" w:sz="4" w:space="0"/>
            </w:tcBorders>
            <w:shd w:val="clear" w:color="auto" w:fill="FFFFFF"/>
            <w:vAlign w:val="center"/>
          </w:tcPr>
          <w:p w14:paraId="64786EE8">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检查网线、配线和电源插座等是否正常工作。</w:t>
            </w:r>
          </w:p>
        </w:tc>
      </w:tr>
      <w:tr w14:paraId="0A0001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0CFB7561">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694" w:type="pct"/>
            <w:vMerge w:val="restart"/>
            <w:tcBorders>
              <w:top w:val="nil"/>
              <w:left w:val="nil"/>
              <w:bottom w:val="single" w:color="000000" w:sz="4" w:space="0"/>
              <w:right w:val="single" w:color="000000" w:sz="4" w:space="0"/>
            </w:tcBorders>
            <w:shd w:val="clear" w:color="auto" w:fill="FFFFFF"/>
            <w:vAlign w:val="center"/>
          </w:tcPr>
          <w:p w14:paraId="2D777363">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环境监控系统</w:t>
            </w:r>
          </w:p>
        </w:tc>
        <w:tc>
          <w:tcPr>
            <w:tcW w:w="904" w:type="pct"/>
            <w:tcBorders>
              <w:top w:val="nil"/>
              <w:left w:val="nil"/>
              <w:bottom w:val="single" w:color="000000" w:sz="4" w:space="0"/>
              <w:right w:val="single" w:color="000000" w:sz="4" w:space="0"/>
            </w:tcBorders>
            <w:shd w:val="clear" w:color="auto" w:fill="FFFFFF"/>
            <w:vAlign w:val="center"/>
          </w:tcPr>
          <w:p w14:paraId="56674C08">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门窗防盗检查</w:t>
            </w:r>
          </w:p>
        </w:tc>
        <w:tc>
          <w:tcPr>
            <w:tcW w:w="3014" w:type="pct"/>
            <w:tcBorders>
              <w:top w:val="nil"/>
              <w:left w:val="nil"/>
              <w:bottom w:val="single" w:color="000000" w:sz="4" w:space="0"/>
              <w:right w:val="single" w:color="000000" w:sz="4" w:space="0"/>
            </w:tcBorders>
            <w:shd w:val="clear" w:color="auto" w:fill="FFFFFF"/>
            <w:vAlign w:val="center"/>
          </w:tcPr>
          <w:p w14:paraId="08AA0267">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检查门窗是否完好，每次出入机房按规定关好门窗。</w:t>
            </w:r>
          </w:p>
        </w:tc>
      </w:tr>
      <w:tr w14:paraId="4AEA6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D31FE36">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F3BC02F">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8EC11F8">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消防检查</w:t>
            </w:r>
          </w:p>
        </w:tc>
        <w:tc>
          <w:tcPr>
            <w:tcW w:w="3014" w:type="pct"/>
            <w:tcBorders>
              <w:top w:val="nil"/>
              <w:left w:val="nil"/>
              <w:bottom w:val="single" w:color="000000" w:sz="4" w:space="0"/>
              <w:right w:val="single" w:color="000000" w:sz="4" w:space="0"/>
            </w:tcBorders>
            <w:shd w:val="clear" w:color="auto" w:fill="FFFFFF"/>
            <w:vAlign w:val="center"/>
          </w:tcPr>
          <w:p w14:paraId="7DB04FD8">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检查消防器材是否在检查时间范围内，检查室外消火栓系统、防排烟设施和灭火设施的维护情况。</w:t>
            </w:r>
          </w:p>
        </w:tc>
      </w:tr>
      <w:tr w14:paraId="362544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123981D">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380518B">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B164901">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监控检查</w:t>
            </w:r>
          </w:p>
        </w:tc>
        <w:tc>
          <w:tcPr>
            <w:tcW w:w="3014" w:type="pct"/>
            <w:tcBorders>
              <w:top w:val="nil"/>
              <w:left w:val="nil"/>
              <w:bottom w:val="single" w:color="000000" w:sz="4" w:space="0"/>
              <w:right w:val="single" w:color="000000" w:sz="4" w:space="0"/>
            </w:tcBorders>
            <w:shd w:val="clear" w:color="auto" w:fill="FFFFFF"/>
            <w:vAlign w:val="center"/>
          </w:tcPr>
          <w:p w14:paraId="2B4A4835">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检查监控是否正常工作，摄像头位置是否正常，影像存储是否正常。</w:t>
            </w:r>
          </w:p>
        </w:tc>
      </w:tr>
      <w:tr w14:paraId="5E8B5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B4A3D42">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1624A35">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1784AC7">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空调检查</w:t>
            </w:r>
          </w:p>
        </w:tc>
        <w:tc>
          <w:tcPr>
            <w:tcW w:w="3014" w:type="pct"/>
            <w:tcBorders>
              <w:top w:val="nil"/>
              <w:left w:val="nil"/>
              <w:bottom w:val="single" w:color="000000" w:sz="4" w:space="0"/>
              <w:right w:val="single" w:color="000000" w:sz="4" w:space="0"/>
            </w:tcBorders>
            <w:shd w:val="clear" w:color="auto" w:fill="FFFFFF"/>
            <w:vAlign w:val="center"/>
          </w:tcPr>
          <w:p w14:paraId="34B4BEF0">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14:paraId="6D737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502C9DE">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B3FADA3">
            <w:pPr>
              <w:jc w:val="both"/>
              <w:rPr>
                <w:rFonts w:hint="eastAsia" w:ascii="宋体" w:hAnsi="宋体" w:eastAsia="宋体" w:cs="宋体"/>
                <w:kern w:val="0"/>
                <w:sz w:val="24"/>
                <w:szCs w:val="24"/>
                <w:lang w:val="en-US" w:eastAsia="zh-CN" w:bidi="ar"/>
              </w:rPr>
            </w:pPr>
          </w:p>
        </w:tc>
        <w:tc>
          <w:tcPr>
            <w:tcW w:w="904" w:type="pct"/>
            <w:vMerge w:val="restart"/>
            <w:tcBorders>
              <w:top w:val="nil"/>
              <w:left w:val="nil"/>
              <w:bottom w:val="single" w:color="000000" w:sz="4" w:space="0"/>
              <w:right w:val="single" w:color="000000" w:sz="4" w:space="0"/>
            </w:tcBorders>
            <w:shd w:val="clear" w:color="auto" w:fill="FFFFFF"/>
            <w:vAlign w:val="center"/>
          </w:tcPr>
          <w:p w14:paraId="312C9B38">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机房检查</w:t>
            </w:r>
          </w:p>
        </w:tc>
        <w:tc>
          <w:tcPr>
            <w:tcW w:w="3014" w:type="pct"/>
            <w:tcBorders>
              <w:top w:val="nil"/>
              <w:left w:val="nil"/>
              <w:bottom w:val="single" w:color="000000" w:sz="4" w:space="0"/>
              <w:right w:val="single" w:color="000000" w:sz="4" w:space="0"/>
            </w:tcBorders>
            <w:shd w:val="clear" w:color="auto" w:fill="FFFFFF"/>
            <w:vAlign w:val="center"/>
          </w:tcPr>
          <w:p w14:paraId="6B3BB22F">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检查机柜安全可靠牢固，检查机柜散热风扇运行情况正常。</w:t>
            </w:r>
          </w:p>
        </w:tc>
      </w:tr>
      <w:tr w14:paraId="758F8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1D371BB">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A82187E">
            <w:pPr>
              <w:jc w:val="both"/>
              <w:rPr>
                <w:rFonts w:hint="eastAsia" w:ascii="宋体" w:hAnsi="宋体" w:eastAsia="宋体" w:cs="宋体"/>
                <w:kern w:val="0"/>
                <w:sz w:val="24"/>
                <w:szCs w:val="24"/>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44B9C4A5">
            <w:pPr>
              <w:jc w:val="both"/>
              <w:rPr>
                <w:rFonts w:hint="eastAsia" w:ascii="宋体" w:hAnsi="宋体" w:eastAsia="宋体" w:cs="宋体"/>
                <w:kern w:val="0"/>
                <w:sz w:val="24"/>
                <w:szCs w:val="24"/>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20A7FEE4">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对设备进行除尘，对机柜进行清洁维护。</w:t>
            </w:r>
          </w:p>
        </w:tc>
      </w:tr>
      <w:tr w14:paraId="38415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F10513C">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A96808B">
            <w:pPr>
              <w:jc w:val="both"/>
              <w:rPr>
                <w:rFonts w:hint="eastAsia" w:ascii="宋体" w:hAnsi="宋体" w:eastAsia="宋体" w:cs="宋体"/>
                <w:kern w:val="0"/>
                <w:sz w:val="24"/>
                <w:szCs w:val="24"/>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33003062">
            <w:pPr>
              <w:jc w:val="both"/>
              <w:rPr>
                <w:rFonts w:hint="eastAsia" w:ascii="宋体" w:hAnsi="宋体" w:eastAsia="宋体" w:cs="宋体"/>
                <w:kern w:val="0"/>
                <w:sz w:val="24"/>
                <w:szCs w:val="24"/>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6CFB2B17">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对机房环境卫生进行打扫，机柜内线缆连接检查整理，机房外围安全检查和机房防水检查，排除隐患。</w:t>
            </w:r>
          </w:p>
        </w:tc>
      </w:tr>
    </w:tbl>
    <w:p w14:paraId="37C0923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lang w:val="en-US" w:eastAsia="zh-CN"/>
        </w:rPr>
      </w:pPr>
      <w:r>
        <w:rPr>
          <w:rStyle w:val="13"/>
          <w:rFonts w:hint="eastAsia" w:ascii="宋体" w:hAnsi="宋体" w:eastAsia="宋体" w:cs="宋体"/>
          <w:lang w:val="en-US" w:eastAsia="zh-CN"/>
        </w:rPr>
        <w:t>3.日常检查</w:t>
      </w:r>
    </w:p>
    <w:p w14:paraId="7CA5E2F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3.1服务要求</w:t>
      </w:r>
    </w:p>
    <w:p w14:paraId="35FAA2B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（1）运维服务期内每月至少2次负责按照规范要求完成对无线电固定监测站的日常检查；</w:t>
      </w:r>
    </w:p>
    <w:p w14:paraId="5FFE85C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（2）运维服务期内每月至少1次负责按照规范要求完成对移动监测站、便携式监测设备、</w:t>
      </w:r>
      <w:r>
        <w:rPr>
          <w:rFonts w:hint="eastAsia" w:ascii="宋体" w:hAnsi="宋体" w:eastAsia="宋体" w:cs="宋体"/>
          <w:sz w:val="24"/>
          <w:szCs w:val="24"/>
          <w:lang w:val="en-US" w:eastAsia="zh-CN"/>
        </w:rPr>
        <w:t>无线电</w:t>
      </w:r>
      <w:r>
        <w:rPr>
          <w:rFonts w:hint="default" w:ascii="宋体" w:hAnsi="宋体" w:eastAsia="宋体" w:cs="宋体"/>
          <w:sz w:val="24"/>
          <w:szCs w:val="24"/>
          <w:lang w:val="en-US" w:eastAsia="zh-CN"/>
        </w:rPr>
        <w:t>监测控制中心的日常检查；</w:t>
      </w:r>
    </w:p>
    <w:p w14:paraId="30CFC8C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（3）对无线电技术设施主要监测系统提供功能测试和检查服务，故障及时响应处置，并做好日常检查工作记录。</w:t>
      </w:r>
    </w:p>
    <w:p w14:paraId="21B357C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3.2日常检查内容</w:t>
      </w:r>
    </w:p>
    <w:p w14:paraId="550982E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无线电固定监测站</w:t>
      </w:r>
    </w:p>
    <w:p w14:paraId="36F9AC2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检查</w:t>
      </w:r>
      <w:r>
        <w:rPr>
          <w:rFonts w:hint="eastAsia" w:ascii="宋体" w:hAnsi="宋体" w:eastAsia="宋体" w:cs="宋体"/>
          <w:sz w:val="24"/>
          <w:szCs w:val="24"/>
        </w:rPr>
        <w:t>内容包括但不限于：检查计算机及服务器系统运行情况；检查监测、测向应用软件以及其他辅助软件的各种功能；测试网络、控制线及系统间连通及数据传输情况；监控系统检查。</w:t>
      </w:r>
    </w:p>
    <w:p w14:paraId="2B09683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移动监测站</w:t>
      </w:r>
      <w:r>
        <w:rPr>
          <w:rFonts w:hint="eastAsia" w:ascii="宋体" w:hAnsi="宋体" w:eastAsia="宋体" w:cs="宋体"/>
          <w:sz w:val="24"/>
          <w:szCs w:val="24"/>
          <w:lang w:eastAsia="zh-CN"/>
        </w:rPr>
        <w:t>、便携式监测设备</w:t>
      </w:r>
    </w:p>
    <w:p w14:paraId="32E0D05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检查内容包括但不限于：检查设备开机启动运行情况；检查设备自检情况；检查监测、测向应用软件运行情况；电池充电等</w:t>
      </w:r>
      <w:r>
        <w:rPr>
          <w:rFonts w:hint="eastAsia" w:ascii="宋体" w:hAnsi="宋体" w:eastAsia="宋体" w:cs="宋体"/>
          <w:sz w:val="24"/>
          <w:szCs w:val="24"/>
          <w:lang w:eastAsia="zh-CN"/>
        </w:rPr>
        <w:t>。</w:t>
      </w:r>
    </w:p>
    <w:p w14:paraId="3FCC925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）无线电控制中心</w:t>
      </w:r>
    </w:p>
    <w:p w14:paraId="458DE0B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检查内容包括但不限于：</w:t>
      </w:r>
      <w:r>
        <w:rPr>
          <w:rFonts w:hint="eastAsia" w:ascii="宋体" w:hAnsi="宋体" w:eastAsia="宋体" w:cs="宋体"/>
          <w:sz w:val="24"/>
          <w:szCs w:val="24"/>
        </w:rPr>
        <w:t>检查大屏幕及相关主设备开机启动运行情况</w:t>
      </w:r>
      <w:r>
        <w:rPr>
          <w:rFonts w:hint="eastAsia" w:ascii="宋体" w:hAnsi="宋体" w:eastAsia="宋体" w:cs="宋体"/>
          <w:sz w:val="24"/>
          <w:szCs w:val="24"/>
          <w:lang w:eastAsia="zh-CN"/>
        </w:rPr>
        <w:t>、检查视频会议系统工作情况、检查控制终端运行情况及环境监控系统运行情况等。</w:t>
      </w:r>
    </w:p>
    <w:p w14:paraId="42CC8FB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lang w:val="en-US" w:eastAsia="zh-CN"/>
        </w:rPr>
      </w:pPr>
      <w:r>
        <w:rPr>
          <w:rStyle w:val="13"/>
          <w:rFonts w:hint="eastAsia" w:ascii="宋体" w:hAnsi="宋体" w:eastAsia="宋体" w:cs="宋体"/>
          <w:lang w:val="en-US" w:eastAsia="zh-CN"/>
        </w:rPr>
        <w:t>4.应急维护及重大活动保障运维</w:t>
      </w:r>
    </w:p>
    <w:p w14:paraId="5E9989A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成交人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14:paraId="4B92D3C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14:paraId="207A5B7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pPr>
      <w:r>
        <w:rPr>
          <w:rStyle w:val="13"/>
          <w:rFonts w:hint="eastAsia" w:ascii="宋体" w:hAnsi="宋体" w:eastAsia="宋体" w:cs="宋体"/>
          <w:lang w:val="en-US" w:eastAsia="zh-CN"/>
        </w:rPr>
        <w:t>5</w:t>
      </w:r>
      <w:r>
        <w:rPr>
          <w:rStyle w:val="13"/>
          <w:rFonts w:hint="eastAsia" w:ascii="宋体" w:hAnsi="宋体" w:eastAsia="宋体" w:cs="宋体"/>
        </w:rPr>
        <w:t>.故障排查及维修服务</w:t>
      </w:r>
    </w:p>
    <w:p w14:paraId="6EFBF16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4"/>
      </w:pPr>
      <w:r>
        <w:rPr>
          <w:rFonts w:hint="eastAsia" w:ascii="宋体" w:hAnsi="宋体" w:eastAsia="宋体" w:cs="宋体"/>
          <w:sz w:val="24"/>
          <w:szCs w:val="24"/>
          <w:lang w:val="en-US" w:eastAsia="zh-CN"/>
        </w:rPr>
        <w:t>5.1</w:t>
      </w:r>
      <w:r>
        <w:rPr>
          <w:rFonts w:hint="eastAsia" w:ascii="宋体" w:hAnsi="宋体" w:eastAsia="宋体" w:cs="宋体"/>
          <w:sz w:val="24"/>
          <w:szCs w:val="24"/>
        </w:rPr>
        <w:t>故障排查及维修服务要求</w:t>
      </w:r>
    </w:p>
    <w:p w14:paraId="136786B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提供）顶用的方式，保证各类无线电监测系统能够在维修期照常工作，对于故障损坏严重，不具备维修价值的故障设备，应出具故障核查报告，征得省无线电监测站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同意后可放弃维修。故障排查及维修服务所有情况按照要求详细做好记录，存入无线电</w:t>
      </w:r>
      <w:r>
        <w:rPr>
          <w:rFonts w:hint="eastAsia" w:ascii="宋体" w:hAnsi="宋体" w:eastAsia="宋体" w:cs="宋体"/>
          <w:sz w:val="24"/>
          <w:szCs w:val="24"/>
          <w:lang w:eastAsia="zh-CN"/>
        </w:rPr>
        <w:t>技术</w:t>
      </w:r>
      <w:r>
        <w:rPr>
          <w:rFonts w:hint="eastAsia" w:ascii="宋体" w:hAnsi="宋体" w:eastAsia="宋体" w:cs="宋体"/>
          <w:sz w:val="24"/>
          <w:szCs w:val="24"/>
        </w:rPr>
        <w:t>设施运维档案中。</w:t>
      </w:r>
    </w:p>
    <w:p w14:paraId="56F525B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4"/>
      </w:pPr>
      <w:r>
        <w:rPr>
          <w:rFonts w:hint="eastAsia" w:ascii="宋体" w:hAnsi="宋体" w:eastAsia="宋体" w:cs="宋体"/>
          <w:sz w:val="24"/>
          <w:szCs w:val="24"/>
          <w:lang w:val="en-US" w:eastAsia="zh-CN"/>
        </w:rPr>
        <w:t>5.2</w:t>
      </w:r>
      <w:r>
        <w:rPr>
          <w:rFonts w:hint="eastAsia" w:ascii="宋体" w:hAnsi="宋体" w:eastAsia="宋体" w:cs="宋体"/>
          <w:sz w:val="24"/>
          <w:szCs w:val="24"/>
        </w:rPr>
        <w:t>维修服务范围要求</w:t>
      </w:r>
    </w:p>
    <w:p w14:paraId="5846224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维修服务范围包含</w:t>
      </w:r>
      <w:r>
        <w:rPr>
          <w:rFonts w:hint="eastAsia" w:ascii="宋体" w:hAnsi="宋体" w:cs="宋体"/>
          <w:sz w:val="24"/>
          <w:szCs w:val="24"/>
          <w:highlight w:val="yellow"/>
          <w:lang w:eastAsia="zh-CN"/>
        </w:rPr>
        <w:t>无线电固定监测站的</w:t>
      </w:r>
      <w:r>
        <w:rPr>
          <w:rFonts w:hint="eastAsia" w:ascii="宋体" w:hAnsi="宋体" w:eastAsia="宋体" w:cs="宋体"/>
          <w:sz w:val="24"/>
          <w:szCs w:val="24"/>
        </w:rPr>
        <w:t>控制系统（如设备工控机、控制器等）、网络通信系统（如路由器、交换机、光端机等）、电源系统（如UPS、稳压器、逆变器、充电器等）、遥控系统（如遥控系统主机、门磁、烟感等）、防雷接地系统（如避雷器、接地引下线、电源空开、汇流排、接地设施等）、环境监控系统（如门窗、温湿度、消防、监控、空调、机房内机柜、散热设施等）和</w:t>
      </w:r>
      <w:r>
        <w:rPr>
          <w:rFonts w:hint="eastAsia" w:ascii="宋体" w:hAnsi="宋体" w:cs="宋体"/>
          <w:sz w:val="24"/>
          <w:szCs w:val="24"/>
          <w:highlight w:val="yellow"/>
          <w:lang w:eastAsia="zh-CN"/>
        </w:rPr>
        <w:t>无线电固定监测站的</w:t>
      </w:r>
      <w:r>
        <w:rPr>
          <w:rFonts w:hint="eastAsia" w:ascii="宋体" w:hAnsi="宋体" w:eastAsia="宋体" w:cs="宋体"/>
          <w:sz w:val="24"/>
          <w:szCs w:val="24"/>
        </w:rPr>
        <w:t>附属专业设备及其非损耗辅件，所需维修（包含过程中发生的设备包装、寄送等送修）费用纳入本次招标总价。</w:t>
      </w:r>
    </w:p>
    <w:p w14:paraId="158F18C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维修服务范围不包含监测接收机、测向接收机、信号处理设备、仪器仪表、</w:t>
      </w:r>
      <w:r>
        <w:rPr>
          <w:rFonts w:hint="eastAsia" w:ascii="宋体" w:hAnsi="宋体" w:cs="宋体"/>
          <w:sz w:val="24"/>
          <w:szCs w:val="24"/>
          <w:highlight w:val="yellow"/>
          <w:lang w:eastAsia="zh-CN"/>
        </w:rPr>
        <w:t>监测</w:t>
      </w:r>
      <w:r>
        <w:rPr>
          <w:rFonts w:hint="eastAsia" w:ascii="宋体" w:hAnsi="宋体" w:eastAsia="宋体" w:cs="宋体"/>
          <w:sz w:val="24"/>
          <w:szCs w:val="24"/>
          <w:highlight w:val="yellow"/>
        </w:rPr>
        <w:t>天线</w:t>
      </w:r>
      <w:r>
        <w:rPr>
          <w:rFonts w:hint="eastAsia" w:ascii="宋体" w:hAnsi="宋体" w:eastAsia="宋体" w:cs="宋体"/>
          <w:sz w:val="24"/>
          <w:szCs w:val="24"/>
          <w:highlight w:val="yellow"/>
          <w:lang w:eastAsia="zh-CN"/>
        </w:rPr>
        <w:t>、</w:t>
      </w:r>
      <w:r>
        <w:rPr>
          <w:rFonts w:hint="eastAsia" w:ascii="宋体" w:hAnsi="宋体" w:cs="宋体"/>
          <w:sz w:val="24"/>
          <w:szCs w:val="24"/>
          <w:highlight w:val="yellow"/>
          <w:lang w:eastAsia="zh-CN"/>
        </w:rPr>
        <w:t>测向</w:t>
      </w:r>
      <w:r>
        <w:rPr>
          <w:rFonts w:hint="eastAsia" w:ascii="宋体" w:hAnsi="宋体" w:eastAsia="宋体" w:cs="宋体"/>
          <w:sz w:val="24"/>
          <w:szCs w:val="24"/>
        </w:rPr>
        <w:t>天线</w:t>
      </w:r>
      <w:r>
        <w:rPr>
          <w:rFonts w:hint="eastAsia" w:ascii="宋体" w:hAnsi="宋体" w:eastAsia="宋体" w:cs="宋体"/>
          <w:sz w:val="24"/>
          <w:szCs w:val="24"/>
          <w:lang w:eastAsia="zh-CN"/>
        </w:rPr>
        <w:t>、大屏系统</w:t>
      </w:r>
      <w:r>
        <w:rPr>
          <w:rFonts w:hint="eastAsia" w:ascii="宋体" w:hAnsi="宋体" w:cs="宋体"/>
          <w:sz w:val="24"/>
          <w:szCs w:val="24"/>
          <w:highlight w:val="yellow"/>
          <w:lang w:eastAsia="zh-CN"/>
        </w:rPr>
        <w:t>、</w:t>
      </w:r>
      <w:r>
        <w:rPr>
          <w:rFonts w:hint="eastAsia" w:ascii="宋体" w:hAnsi="宋体" w:eastAsia="宋体" w:cs="宋体"/>
          <w:sz w:val="24"/>
          <w:szCs w:val="24"/>
          <w:highlight w:val="yellow"/>
          <w:lang w:eastAsia="zh-CN"/>
        </w:rPr>
        <w:t>视频会议系统</w:t>
      </w:r>
      <w:r>
        <w:rPr>
          <w:rFonts w:hint="eastAsia" w:ascii="宋体" w:hAnsi="宋体" w:cs="宋体"/>
          <w:sz w:val="24"/>
          <w:szCs w:val="24"/>
          <w:highlight w:val="yellow"/>
          <w:lang w:eastAsia="zh-CN"/>
        </w:rPr>
        <w:t>、</w:t>
      </w:r>
      <w:r>
        <w:rPr>
          <w:rFonts w:hint="eastAsia" w:ascii="宋体" w:hAnsi="宋体" w:eastAsia="宋体" w:cs="宋体"/>
          <w:sz w:val="24"/>
          <w:szCs w:val="24"/>
          <w:highlight w:val="yellow"/>
          <w:lang w:eastAsia="zh-CN"/>
        </w:rPr>
        <w:t>控制终端</w:t>
      </w:r>
      <w:r>
        <w:rPr>
          <w:rFonts w:hint="eastAsia" w:ascii="宋体" w:hAnsi="宋体" w:cs="宋体"/>
          <w:sz w:val="24"/>
          <w:szCs w:val="24"/>
          <w:highlight w:val="yellow"/>
          <w:lang w:eastAsia="zh-CN"/>
        </w:rPr>
        <w:t>、</w:t>
      </w:r>
      <w:r>
        <w:rPr>
          <w:rFonts w:hint="eastAsia" w:ascii="宋体" w:hAnsi="宋体" w:eastAsia="宋体" w:cs="宋体"/>
          <w:sz w:val="24"/>
          <w:szCs w:val="24"/>
          <w:highlight w:val="yellow"/>
          <w:lang w:eastAsia="zh-CN"/>
        </w:rPr>
        <w:t>控制中心电动伸缩门</w:t>
      </w:r>
      <w:r>
        <w:rPr>
          <w:rFonts w:hint="eastAsia" w:ascii="宋体" w:hAnsi="宋体" w:eastAsia="宋体" w:cs="宋体"/>
          <w:sz w:val="24"/>
          <w:szCs w:val="24"/>
        </w:rPr>
        <w:t>等设备及站点使用的铅酸蓄电池组损耗设施等。针对维修范围不包含的监测设备及配套设施有出现异常时，应提供故障发现、检测及送修服务，涉及上述设施设备故障或意外事故（雷击、火灾、浸水等自然灾害）造成的大范围设备故障以及仍处于质保期内的技术设施所需维修费用不纳入本次招标总价。</w:t>
      </w:r>
    </w:p>
    <w:p w14:paraId="04B4352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5.3故障处置响应时效要求</w:t>
      </w:r>
    </w:p>
    <w:p w14:paraId="6A536BC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省无线电监测站同意后，可对时限进行适当调整。</w:t>
      </w:r>
    </w:p>
    <w:p w14:paraId="64D7B0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一级（重大）故障指</w:t>
      </w:r>
      <w:r>
        <w:rPr>
          <w:rFonts w:hint="eastAsia" w:ascii="宋体" w:hAnsi="宋体" w:eastAsia="宋体" w:cs="宋体"/>
          <w:sz w:val="24"/>
          <w:szCs w:val="24"/>
          <w:lang w:eastAsia="zh-CN"/>
        </w:rPr>
        <w:t>技术</w:t>
      </w:r>
      <w:r>
        <w:rPr>
          <w:rFonts w:hint="eastAsia" w:ascii="宋体" w:hAnsi="宋体" w:eastAsia="宋体" w:cs="宋体"/>
          <w:sz w:val="24"/>
          <w:szCs w:val="24"/>
        </w:rPr>
        <w:t>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 分钟内，故障处理方案应在4小时内提交或反馈，业务恢复时限应在 24 小时内，故障解决时限应在 48小时内（进口设备需送修的除外）。</w:t>
      </w:r>
    </w:p>
    <w:p w14:paraId="7AB5058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二级（主要）故障指监测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 2 小时以内，故障处理方案应在8小时内提交或反馈，业务恢复时限应在 48小时，故障解决时限应在 96小时以内（进口设备需送修的除外）。</w:t>
      </w:r>
    </w:p>
    <w:p w14:paraId="61275B5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三级（次要）故障指监测设施和相关系统部分功能和性能受影响（如视频监控系统故障、空调设备故障、防雷设施故障及其他配套设施故障等），但监测业务及其他主要功能仍可正常运行的情况。三级故障的响应时限应在 12 小时以内，故障处理方案应在24小时内提交或反馈，业务恢复时限应在 72 小时以内，故障解决时限应在120小时以内（进口设备需送修的除外）。</w:t>
      </w:r>
    </w:p>
    <w:p w14:paraId="04C1BC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b/>
          <w:bCs w:val="0"/>
          <w:highlight w:val="yellow"/>
          <w:lang w:val="en-US" w:eastAsia="zh-CN"/>
        </w:rPr>
      </w:pPr>
      <w:r>
        <w:rPr>
          <w:rStyle w:val="13"/>
          <w:rFonts w:hint="eastAsia" w:ascii="宋体" w:hAnsi="宋体" w:eastAsia="宋体" w:cs="宋体"/>
          <w:b/>
          <w:bCs w:val="0"/>
          <w:highlight w:val="yellow"/>
          <w:lang w:val="en-US" w:eastAsia="zh-CN"/>
        </w:rPr>
        <w:t>6.技术用房专项维护</w:t>
      </w:r>
    </w:p>
    <w:p w14:paraId="066A2D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对现有技术用房周界防盗围栏（总长度约180米）开展专项维护工程，重点针对存在安全隐患的构件实施系统性检测与更新。施工内容包括：对已锈蚀破损的围栏结构进行整体评估与拆除，采用耐久性材料替换失效部件，执行钢结构焊接相关行业规范，确保围栏结构稳定性与抗破坏性能符合国家安防设施技术标准。</w:t>
      </w:r>
    </w:p>
    <w:p w14:paraId="5BE68EA6">
      <w:pPr>
        <w:pStyle w:val="16"/>
        <w:keepNext w:val="0"/>
        <w:keepLines w:val="0"/>
        <w:pageBreakBefore w:val="0"/>
        <w:widowControl w:val="0"/>
        <w:kinsoku/>
        <w:wordWrap w:val="0"/>
        <w:overflowPunct/>
        <w:topLinePunct w:val="0"/>
        <w:autoSpaceDE/>
        <w:autoSpaceDN/>
        <w:bidi w:val="0"/>
        <w:adjustRightInd/>
        <w:snapToGrid/>
        <w:spacing w:line="360" w:lineRule="auto"/>
        <w:ind w:right="0" w:firstLine="480"/>
        <w:jc w:val="left"/>
        <w:textAlignment w:val="auto"/>
        <w:outlineLvl w:val="3"/>
        <w:rPr>
          <w:rFonts w:hint="eastAsia" w:ascii="宋体" w:hAnsi="宋体" w:eastAsia="宋体" w:cs="宋体"/>
          <w:b/>
          <w:bCs w:val="0"/>
          <w:sz w:val="24"/>
          <w:highlight w:val="yellow"/>
          <w:lang w:val="en-US" w:eastAsia="zh-CN"/>
        </w:rPr>
      </w:pPr>
      <w:r>
        <w:rPr>
          <w:rFonts w:hint="eastAsia" w:ascii="宋体" w:hAnsi="宋体" w:eastAsia="宋体" w:cs="宋体"/>
          <w:b/>
          <w:bCs w:val="0"/>
          <w:sz w:val="24"/>
          <w:highlight w:val="yellow"/>
          <w:lang w:val="en-US" w:eastAsia="zh-CN"/>
        </w:rPr>
        <w:t>7.电力传输线路专项服务</w:t>
      </w:r>
    </w:p>
    <w:p w14:paraId="4DAF7BD0">
      <w:pPr>
        <w:pStyle w:val="16"/>
        <w:keepNext w:val="0"/>
        <w:keepLines w:val="0"/>
        <w:pageBreakBefore w:val="0"/>
        <w:widowControl w:val="0"/>
        <w:kinsoku/>
        <w:wordWrap w:val="0"/>
        <w:overflowPunct/>
        <w:topLinePunct w:val="0"/>
        <w:autoSpaceDE/>
        <w:autoSpaceDN/>
        <w:bidi w:val="0"/>
        <w:adjustRightInd/>
        <w:snapToGrid/>
        <w:spacing w:line="360" w:lineRule="auto"/>
        <w:ind w:right="0" w:firstLine="480"/>
        <w:jc w:val="left"/>
        <w:textAlignment w:val="auto"/>
        <w:outlineLvl w:val="3"/>
        <w:rPr>
          <w:rFonts w:hint="default" w:ascii="宋体" w:hAnsi="宋体" w:eastAsia="宋体" w:cs="宋体"/>
          <w:b/>
          <w:sz w:val="24"/>
          <w:highlight w:val="yellow"/>
          <w:lang w:val="en-US" w:eastAsia="zh-CN"/>
        </w:rPr>
      </w:pPr>
      <w:r>
        <w:rPr>
          <w:rFonts w:hint="eastAsia" w:ascii="宋体" w:hAnsi="宋体" w:eastAsia="宋体" w:cs="宋体"/>
          <w:b w:val="0"/>
          <w:bCs/>
          <w:sz w:val="24"/>
          <w:highlight w:val="yellow"/>
          <w:lang w:val="en-US" w:eastAsia="zh-CN"/>
        </w:rPr>
        <w:t>针对</w:t>
      </w:r>
      <w:r>
        <w:rPr>
          <w:rFonts w:hint="eastAsia" w:ascii="宋体"/>
          <w:sz w:val="24"/>
          <w:szCs w:val="24"/>
          <w:highlight w:val="yellow"/>
          <w:lang w:eastAsia="zh-CN"/>
        </w:rPr>
        <w:t>平潭固定站、东山固定站、南日固定站等三个站点提供全方位、可靠的电力传输线路专项保障服务，确保电力供应稳定，及时排查并处理线路故障，保障无线电技术设施的正常运行不受电力中断影响。</w:t>
      </w:r>
    </w:p>
    <w:p w14:paraId="4FF8B258">
      <w:pPr>
        <w:pStyle w:val="16"/>
        <w:keepNext w:val="0"/>
        <w:keepLines w:val="0"/>
        <w:pageBreakBefore w:val="0"/>
        <w:widowControl w:val="0"/>
        <w:kinsoku/>
        <w:wordWrap w:val="0"/>
        <w:overflowPunct/>
        <w:topLinePunct w:val="0"/>
        <w:autoSpaceDE/>
        <w:autoSpaceDN/>
        <w:bidi w:val="0"/>
        <w:adjustRightInd/>
        <w:snapToGrid/>
        <w:spacing w:line="360" w:lineRule="auto"/>
        <w:ind w:right="0" w:firstLine="480"/>
        <w:jc w:val="left"/>
        <w:textAlignment w:val="auto"/>
        <w:outlineLvl w:val="3"/>
        <w:rPr>
          <w:rFonts w:hint="eastAsia" w:ascii="宋体" w:hAnsi="宋体" w:eastAsia="宋体" w:cs="宋体"/>
          <w:b/>
          <w:sz w:val="24"/>
          <w:highlight w:val="yellow"/>
        </w:rPr>
      </w:pPr>
      <w:r>
        <w:rPr>
          <w:rFonts w:hint="eastAsia" w:ascii="宋体" w:hAnsi="宋体" w:eastAsia="宋体" w:cs="宋体"/>
          <w:b/>
          <w:sz w:val="24"/>
          <w:highlight w:val="yellow"/>
          <w:lang w:val="en-US" w:eastAsia="zh-CN"/>
        </w:rPr>
        <w:t>8</w:t>
      </w:r>
      <w:r>
        <w:rPr>
          <w:rFonts w:hint="eastAsia" w:ascii="宋体" w:hAnsi="宋体" w:eastAsia="宋体" w:cs="宋体"/>
          <w:b/>
          <w:sz w:val="24"/>
          <w:highlight w:val="yellow"/>
        </w:rPr>
        <w:t>.其他服务</w:t>
      </w:r>
    </w:p>
    <w:p w14:paraId="4F2AC07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sz w:val="24"/>
          <w:highlight w:val="yellow"/>
        </w:rPr>
      </w:pPr>
      <w:r>
        <w:rPr>
          <w:rFonts w:hint="eastAsia" w:ascii="宋体" w:hAnsi="宋体" w:eastAsia="宋体" w:cs="宋体"/>
          <w:b w:val="0"/>
          <w:bCs/>
          <w:sz w:val="24"/>
          <w:highlight w:val="yellow"/>
          <w:lang w:val="en-US" w:eastAsia="zh-CN"/>
        </w:rPr>
        <w:t>8</w:t>
      </w:r>
      <w:r>
        <w:rPr>
          <w:rFonts w:hint="eastAsia" w:ascii="宋体" w:hAnsi="宋体" w:eastAsia="宋体" w:cs="宋体"/>
          <w:b w:val="0"/>
          <w:bCs/>
          <w:sz w:val="24"/>
          <w:highlight w:val="yellow"/>
        </w:rPr>
        <w:t>.</w:t>
      </w:r>
      <w:r>
        <w:rPr>
          <w:rFonts w:hint="eastAsia" w:ascii="宋体" w:hAnsi="宋体" w:eastAsia="宋体" w:cs="宋体"/>
          <w:b w:val="0"/>
          <w:bCs/>
          <w:sz w:val="24"/>
          <w:highlight w:val="yellow"/>
          <w:lang w:val="en-US" w:eastAsia="zh-CN"/>
        </w:rPr>
        <w:t>1</w:t>
      </w:r>
      <w:r>
        <w:rPr>
          <w:rFonts w:hint="eastAsia" w:ascii="宋体" w:hAnsi="宋体" w:eastAsia="宋体" w:cs="宋体"/>
          <w:b w:val="0"/>
          <w:bCs/>
          <w:sz w:val="24"/>
          <w:highlight w:val="yellow"/>
        </w:rPr>
        <w:t>现场随工服务。运维服务期内根据采购人实际工作需求，配合采购人到监测站点现场进行随工，随工内容包括站点更新改造、设备扩容、施工以及委托第三方处理业务设备故障等情况。</w:t>
      </w:r>
    </w:p>
    <w:p w14:paraId="015A856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sz w:val="24"/>
          <w:highlight w:val="yellow"/>
          <w:lang w:val="en-US" w:eastAsia="zh-CN"/>
        </w:rPr>
      </w:pPr>
      <w:r>
        <w:rPr>
          <w:rFonts w:hint="eastAsia" w:ascii="宋体" w:hAnsi="宋体" w:eastAsia="宋体" w:cs="宋体"/>
          <w:b w:val="0"/>
          <w:bCs/>
          <w:sz w:val="24"/>
          <w:highlight w:val="yellow"/>
          <w:lang w:val="en-US" w:eastAsia="zh-CN"/>
        </w:rPr>
        <w:t>8.2配合测试验证工作。运维服务期内根据采购人实际工作需求，前往测试场地配合采购人对即将进行测试验证的监测系统进行搭建和调试。</w:t>
      </w:r>
    </w:p>
    <w:p w14:paraId="5C11950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sz w:val="24"/>
          <w:highlight w:val="yellow"/>
          <w:lang w:val="en-US" w:eastAsia="zh-CN"/>
        </w:rPr>
      </w:pPr>
      <w:r>
        <w:rPr>
          <w:rFonts w:hint="eastAsia" w:ascii="宋体" w:hAnsi="宋体" w:eastAsia="宋体" w:cs="宋体"/>
          <w:b w:val="0"/>
          <w:bCs/>
          <w:sz w:val="24"/>
          <w:highlight w:val="yellow"/>
          <w:lang w:val="en-US" w:eastAsia="zh-CN"/>
        </w:rPr>
        <w:t>8.3天线拆装服务。运维服务期内根据采购人实际工作需求，免费提供两次天线拆装服务。</w:t>
      </w:r>
      <w:bookmarkStart w:id="2" w:name="_GoBack"/>
      <w:bookmarkEnd w:id="2"/>
    </w:p>
    <w:p w14:paraId="6BF6367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rPr>
        <w:t>（</w:t>
      </w:r>
      <w:r>
        <w:rPr>
          <w:rStyle w:val="13"/>
          <w:rFonts w:hint="eastAsia" w:ascii="宋体" w:hAnsi="宋体" w:eastAsia="宋体" w:cs="宋体"/>
          <w:lang w:eastAsia="zh-CN"/>
        </w:rPr>
        <w:t>五</w:t>
      </w:r>
      <w:r>
        <w:rPr>
          <w:rStyle w:val="13"/>
          <w:rFonts w:hint="eastAsia" w:ascii="宋体" w:hAnsi="宋体" w:eastAsia="宋体" w:cs="宋体"/>
        </w:rPr>
        <w:t>）运维服务管理要求</w:t>
      </w:r>
    </w:p>
    <w:p w14:paraId="6FE8768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w:t>
      </w:r>
      <w:r>
        <w:rPr>
          <w:rFonts w:hint="eastAsia" w:ascii="宋体" w:hAnsi="宋体" w:eastAsia="宋体" w:cs="宋体"/>
          <w:sz w:val="24"/>
          <w:szCs w:val="24"/>
          <w:lang w:eastAsia="zh-CN"/>
        </w:rPr>
        <w:t>成交人</w:t>
      </w:r>
      <w:r>
        <w:rPr>
          <w:rFonts w:hint="eastAsia" w:ascii="宋体" w:hAnsi="宋体" w:eastAsia="宋体" w:cs="宋体"/>
          <w:sz w:val="24"/>
          <w:szCs w:val="24"/>
        </w:rPr>
        <w:t>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w:t>
      </w:r>
    </w:p>
    <w:p w14:paraId="6E04D0E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2.</w:t>
      </w:r>
      <w:r>
        <w:rPr>
          <w:rFonts w:hint="eastAsia" w:ascii="宋体" w:hAnsi="宋体" w:eastAsia="宋体" w:cs="宋体"/>
          <w:sz w:val="24"/>
          <w:szCs w:val="24"/>
          <w:lang w:eastAsia="zh-CN"/>
        </w:rPr>
        <w:t>成交人</w:t>
      </w:r>
      <w:r>
        <w:rPr>
          <w:rFonts w:hint="eastAsia" w:ascii="宋体" w:hAnsi="宋体" w:eastAsia="宋体" w:cs="宋体"/>
          <w:sz w:val="24"/>
          <w:szCs w:val="24"/>
        </w:rPr>
        <w:t>应积极配合省无线电监测站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共同实施对运维服务人员的监督和管理，运维服务人员需遵守省无线电监测站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有权对不满足工作要求的运维服务人员向</w:t>
      </w:r>
      <w:r>
        <w:rPr>
          <w:rFonts w:hint="eastAsia" w:ascii="宋体" w:hAnsi="宋体" w:eastAsia="宋体" w:cs="宋体"/>
          <w:sz w:val="24"/>
          <w:szCs w:val="24"/>
          <w:lang w:eastAsia="zh-CN"/>
        </w:rPr>
        <w:t>成交人</w:t>
      </w:r>
      <w:r>
        <w:rPr>
          <w:rFonts w:hint="eastAsia" w:ascii="宋体" w:hAnsi="宋体" w:eastAsia="宋体" w:cs="宋体"/>
          <w:sz w:val="24"/>
          <w:szCs w:val="24"/>
        </w:rPr>
        <w:t>提出更换的要求，如发现工作上有弄虚作假情况，省无线电监测站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有权做出相应处理，直至终止合同并追究运维服务方相应责任。</w:t>
      </w:r>
    </w:p>
    <w:p w14:paraId="303AAED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成交人</w:t>
      </w:r>
      <w:r>
        <w:rPr>
          <w:rFonts w:hint="eastAsia" w:ascii="宋体" w:hAnsi="宋体" w:eastAsia="宋体" w:cs="宋体"/>
          <w:sz w:val="24"/>
          <w:szCs w:val="24"/>
        </w:rPr>
        <w:t>应具备相应的数据管理能力，所有涉及无线电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确认。服务期结束后装订成册作为服务验收依据。</w:t>
      </w:r>
    </w:p>
    <w:p w14:paraId="3DB12F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rPr>
        <w:t>（</w:t>
      </w:r>
      <w:r>
        <w:rPr>
          <w:rStyle w:val="13"/>
          <w:rFonts w:hint="eastAsia" w:ascii="宋体" w:hAnsi="宋体" w:eastAsia="宋体" w:cs="宋体"/>
          <w:lang w:eastAsia="zh-CN"/>
        </w:rPr>
        <w:t>六</w:t>
      </w:r>
      <w:r>
        <w:rPr>
          <w:rStyle w:val="13"/>
          <w:rFonts w:hint="eastAsia" w:ascii="宋体" w:hAnsi="宋体" w:eastAsia="宋体" w:cs="宋体"/>
        </w:rPr>
        <w:t>）运维服务考核要求</w:t>
      </w:r>
    </w:p>
    <w:p w14:paraId="0697F46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w:t>
      </w:r>
      <w:r>
        <w:rPr>
          <w:rFonts w:hint="eastAsia" w:ascii="宋体" w:hAnsi="宋体" w:eastAsia="宋体" w:cs="宋体"/>
          <w:sz w:val="24"/>
          <w:szCs w:val="24"/>
        </w:rPr>
        <w:t>人应接受</w:t>
      </w:r>
      <w:r>
        <w:rPr>
          <w:rFonts w:hint="eastAsia" w:ascii="宋体" w:hAnsi="宋体" w:eastAsia="宋体" w:cs="宋体"/>
          <w:sz w:val="24"/>
          <w:szCs w:val="24"/>
          <w:lang w:eastAsia="zh-CN"/>
        </w:rPr>
        <w:t>省无线电监测站平潭直属分站</w:t>
      </w:r>
      <w:r>
        <w:rPr>
          <w:rFonts w:hint="eastAsia" w:ascii="宋体" w:hAnsi="宋体" w:eastAsia="宋体" w:cs="宋体"/>
          <w:sz w:val="24"/>
          <w:szCs w:val="24"/>
        </w:rPr>
        <w:t>的运维服务考核管理，并依据省无线电监测站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有关规定做好所承担的运维服务等工作，以提供优质的技术服务为目标，建立工作规范、服务流程和管理制度等。</w:t>
      </w:r>
    </w:p>
    <w:p w14:paraId="21D7DDC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rPr>
      </w:pPr>
      <w:r>
        <w:rPr>
          <w:rStyle w:val="13"/>
          <w:rFonts w:hint="eastAsia" w:ascii="宋体" w:hAnsi="宋体" w:eastAsia="宋体" w:cs="宋体"/>
        </w:rPr>
        <w:t>一、考核说明</w:t>
      </w:r>
    </w:p>
    <w:p w14:paraId="096629D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b/>
          <w:bCs/>
        </w:rPr>
      </w:pPr>
      <w:r>
        <w:rPr>
          <w:rFonts w:hint="eastAsia" w:ascii="宋体" w:hAnsi="宋体" w:eastAsia="宋体" w:cs="宋体"/>
          <w:b/>
          <w:bCs/>
          <w:sz w:val="24"/>
          <w:szCs w:val="24"/>
        </w:rPr>
        <w:t>1.年度代维考核评价办法</w:t>
      </w:r>
    </w:p>
    <w:p w14:paraId="4C729FD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1）年度代维服务考核综合得分在9</w:t>
      </w:r>
      <w:r>
        <w:rPr>
          <w:rFonts w:hint="eastAsia" w:ascii="宋体" w:hAnsi="宋体" w:eastAsia="宋体" w:cs="宋体"/>
          <w:sz w:val="24"/>
          <w:szCs w:val="24"/>
          <w:lang w:val="en-US" w:eastAsia="zh-CN"/>
        </w:rPr>
        <w:t>0</w:t>
      </w:r>
      <w:r>
        <w:rPr>
          <w:rFonts w:hint="eastAsia" w:ascii="宋体" w:hAnsi="宋体" w:eastAsia="宋体" w:cs="宋体"/>
          <w:sz w:val="24"/>
          <w:szCs w:val="24"/>
        </w:rPr>
        <w:t>分以上（含9</w:t>
      </w:r>
      <w:r>
        <w:rPr>
          <w:rFonts w:hint="eastAsia" w:ascii="宋体" w:hAnsi="宋体" w:eastAsia="宋体" w:cs="宋体"/>
          <w:sz w:val="24"/>
          <w:szCs w:val="24"/>
          <w:lang w:val="en-US" w:eastAsia="zh-CN"/>
        </w:rPr>
        <w:t>0</w:t>
      </w:r>
      <w:r>
        <w:rPr>
          <w:rFonts w:hint="eastAsia" w:ascii="宋体" w:hAnsi="宋体" w:eastAsia="宋体" w:cs="宋体"/>
          <w:sz w:val="24"/>
          <w:szCs w:val="24"/>
        </w:rPr>
        <w:t>分）为优秀；</w:t>
      </w:r>
    </w:p>
    <w:p w14:paraId="0AD22F1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2）年度代维服务考核综合得分在80-</w:t>
      </w:r>
      <w:r>
        <w:rPr>
          <w:rFonts w:hint="eastAsia" w:ascii="宋体" w:hAnsi="宋体" w:eastAsia="宋体" w:cs="宋体"/>
          <w:sz w:val="24"/>
          <w:szCs w:val="24"/>
          <w:lang w:val="en-US" w:eastAsia="zh-CN"/>
        </w:rPr>
        <w:t>89</w:t>
      </w:r>
      <w:r>
        <w:rPr>
          <w:rFonts w:hint="eastAsia" w:ascii="宋体" w:hAnsi="宋体" w:eastAsia="宋体" w:cs="宋体"/>
          <w:sz w:val="24"/>
          <w:szCs w:val="24"/>
        </w:rPr>
        <w:t>分（含80分）为合格；</w:t>
      </w:r>
    </w:p>
    <w:p w14:paraId="55D08E1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eastAsia="zh-CN"/>
        </w:rPr>
      </w:pPr>
      <w:r>
        <w:rPr>
          <w:rFonts w:hint="eastAsia" w:ascii="宋体" w:hAnsi="宋体" w:eastAsia="宋体" w:cs="宋体"/>
          <w:sz w:val="24"/>
          <w:szCs w:val="24"/>
        </w:rPr>
        <w:t>3）年度代维服务考核综合得分在80分以下（不含80分）为不合格</w:t>
      </w:r>
      <w:r>
        <w:rPr>
          <w:rFonts w:hint="eastAsia" w:ascii="宋体" w:hAnsi="宋体" w:eastAsia="宋体" w:cs="宋体"/>
          <w:sz w:val="24"/>
          <w:szCs w:val="24"/>
          <w:lang w:eastAsia="zh-CN"/>
        </w:rPr>
        <w:t>；</w:t>
      </w:r>
    </w:p>
    <w:p w14:paraId="57FE997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年度代维服务考核综合得分</w:t>
      </w:r>
      <w:r>
        <w:rPr>
          <w:rFonts w:hint="eastAsia" w:ascii="宋体" w:hAnsi="宋体" w:eastAsia="宋体" w:cs="宋体"/>
          <w:sz w:val="24"/>
          <w:szCs w:val="24"/>
          <w:lang w:eastAsia="zh-CN"/>
        </w:rPr>
        <w:t>为每个周期期次的平均分。</w:t>
      </w:r>
    </w:p>
    <w:p w14:paraId="64DB383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期次</w:t>
      </w:r>
      <w:r>
        <w:rPr>
          <w:rFonts w:hint="eastAsia" w:ascii="宋体" w:hAnsi="宋体" w:eastAsia="宋体" w:cs="宋体"/>
          <w:b/>
          <w:bCs/>
          <w:sz w:val="24"/>
          <w:szCs w:val="24"/>
        </w:rPr>
        <w:t>考核评价办法</w:t>
      </w:r>
    </w:p>
    <w:p w14:paraId="3A9772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1）</w:t>
      </w:r>
      <w:r>
        <w:rPr>
          <w:rFonts w:hint="eastAsia" w:ascii="宋体" w:hAnsi="宋体" w:eastAsia="宋体" w:cs="宋体"/>
          <w:sz w:val="24"/>
          <w:szCs w:val="24"/>
          <w:lang w:eastAsia="zh-CN"/>
        </w:rPr>
        <w:t>期次</w:t>
      </w:r>
      <w:r>
        <w:rPr>
          <w:rFonts w:hint="eastAsia" w:ascii="宋体" w:hAnsi="宋体" w:eastAsia="宋体" w:cs="宋体"/>
          <w:sz w:val="24"/>
          <w:szCs w:val="24"/>
        </w:rPr>
        <w:t>考核得分在80分以上（含80分），满足运维服务工作要求，全额支付当季度运维费用；</w:t>
      </w:r>
    </w:p>
    <w:p w14:paraId="31AFF9D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2）</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考核得分在60-79分（含60分），部分工作无法满足运维服务工作要求，根据得分确认，低于80分的，每低1分，扣减当</w:t>
      </w:r>
      <w:r>
        <w:rPr>
          <w:rFonts w:hint="eastAsia" w:ascii="宋体" w:hAnsi="宋体" w:eastAsia="宋体" w:cs="宋体"/>
          <w:sz w:val="24"/>
          <w:szCs w:val="24"/>
          <w:lang w:eastAsia="zh-CN"/>
        </w:rPr>
        <w:t>期</w:t>
      </w:r>
      <w:r>
        <w:rPr>
          <w:rFonts w:hint="eastAsia" w:ascii="宋体" w:hAnsi="宋体" w:eastAsia="宋体" w:cs="宋体"/>
          <w:sz w:val="24"/>
          <w:szCs w:val="24"/>
        </w:rPr>
        <w:t>运维费用的2.5%，最多扣减50%；</w:t>
      </w:r>
    </w:p>
    <w:p w14:paraId="5F8BF2C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3）</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考核得分在60分以下，完全无法满足运维服务工作要求，扣减当</w:t>
      </w:r>
      <w:r>
        <w:rPr>
          <w:rFonts w:hint="eastAsia" w:ascii="宋体" w:hAnsi="宋体" w:eastAsia="宋体" w:cs="宋体"/>
          <w:sz w:val="24"/>
          <w:szCs w:val="24"/>
          <w:lang w:eastAsia="zh-CN"/>
        </w:rPr>
        <w:t>期</w:t>
      </w:r>
      <w:r>
        <w:rPr>
          <w:rFonts w:hint="eastAsia" w:ascii="宋体" w:hAnsi="宋体" w:eastAsia="宋体" w:cs="宋体"/>
          <w:sz w:val="24"/>
          <w:szCs w:val="24"/>
        </w:rPr>
        <w:t>全部运维费用。</w:t>
      </w:r>
    </w:p>
    <w:p w14:paraId="43BE2F7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rPr>
      </w:pPr>
      <w:r>
        <w:rPr>
          <w:rStyle w:val="13"/>
          <w:rFonts w:hint="eastAsia" w:ascii="宋体" w:hAnsi="宋体" w:eastAsia="宋体" w:cs="宋体"/>
        </w:rPr>
        <w:t>二、考核内容</w:t>
      </w:r>
    </w:p>
    <w:p w14:paraId="2FC7484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rPr>
      </w:pPr>
      <w:r>
        <w:rPr>
          <w:rFonts w:hint="eastAsia" w:ascii="宋体" w:hAnsi="宋体" w:eastAsia="宋体" w:cs="宋体"/>
          <w:sz w:val="24"/>
          <w:szCs w:val="24"/>
        </w:rPr>
        <w:t>每个服务周期(三个月)服务结束后的15日内</w:t>
      </w:r>
      <w:r>
        <w:rPr>
          <w:rFonts w:hint="eastAsia" w:ascii="宋体" w:hAnsi="宋体" w:eastAsia="宋体" w:cs="宋体"/>
          <w:sz w:val="24"/>
          <w:szCs w:val="24"/>
          <w:lang w:eastAsia="zh-CN"/>
        </w:rPr>
        <w:t>成交人</w:t>
      </w:r>
      <w:r>
        <w:rPr>
          <w:rFonts w:hint="eastAsia" w:ascii="宋体" w:hAnsi="宋体" w:eastAsia="宋体" w:cs="宋体"/>
          <w:sz w:val="24"/>
          <w:szCs w:val="24"/>
        </w:rPr>
        <w:t>须提交一份满足要求的</w:t>
      </w:r>
      <w:r>
        <w:rPr>
          <w:rFonts w:hint="eastAsia" w:ascii="宋体" w:hAnsi="宋体" w:eastAsia="宋体" w:cs="宋体"/>
          <w:sz w:val="24"/>
          <w:szCs w:val="24"/>
          <w:lang w:eastAsia="zh-CN"/>
        </w:rPr>
        <w:t>周期运维</w:t>
      </w:r>
      <w:r>
        <w:rPr>
          <w:rFonts w:hint="eastAsia" w:ascii="宋体" w:hAnsi="宋体" w:eastAsia="宋体" w:cs="宋体"/>
          <w:sz w:val="24"/>
          <w:szCs w:val="24"/>
        </w:rPr>
        <w:t>服务材料，每个服务周期(三个月)</w:t>
      </w:r>
      <w:r>
        <w:rPr>
          <w:rFonts w:hint="eastAsia" w:ascii="宋体" w:hAnsi="宋体" w:eastAsia="宋体" w:cs="宋体"/>
          <w:sz w:val="24"/>
          <w:szCs w:val="24"/>
          <w:lang w:eastAsia="zh-CN"/>
        </w:rPr>
        <w:t>运维</w:t>
      </w:r>
      <w:r>
        <w:rPr>
          <w:rFonts w:hint="eastAsia" w:ascii="宋体" w:hAnsi="宋体" w:eastAsia="宋体" w:cs="宋体"/>
          <w:sz w:val="24"/>
          <w:szCs w:val="24"/>
        </w:rPr>
        <w:t>材料提交后的第一周内，采购人将按以下标准对服务情况进行考核，考核评价总分为100分</w:t>
      </w:r>
      <w:r>
        <w:rPr>
          <w:rFonts w:hint="eastAsia" w:ascii="宋体" w:hAnsi="宋体" w:eastAsia="宋体" w:cs="宋体"/>
          <w:sz w:val="24"/>
          <w:szCs w:val="24"/>
          <w:lang w:eastAsia="zh-CN"/>
        </w:rPr>
        <w:t>，</w:t>
      </w:r>
      <w:r>
        <w:rPr>
          <w:rFonts w:hint="eastAsia" w:ascii="宋体" w:hAnsi="宋体" w:eastAsia="宋体" w:cs="宋体"/>
          <w:sz w:val="24"/>
          <w:szCs w:val="24"/>
        </w:rPr>
        <w:t>主要分为：</w:t>
      </w:r>
    </w:p>
    <w:p w14:paraId="37AD993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定期</w:t>
      </w:r>
      <w:r>
        <w:rPr>
          <w:rFonts w:hint="eastAsia" w:ascii="宋体" w:hAnsi="宋体" w:eastAsia="宋体" w:cs="宋体"/>
          <w:b/>
          <w:bCs/>
          <w:sz w:val="24"/>
          <w:szCs w:val="24"/>
        </w:rPr>
        <w:t>巡检情况考核（</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0分）</w:t>
      </w:r>
    </w:p>
    <w:p w14:paraId="6F56348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应根据服务周期要求按时</w:t>
      </w:r>
      <w:r>
        <w:rPr>
          <w:rFonts w:hint="eastAsia" w:ascii="宋体" w:hAnsi="宋体" w:eastAsia="宋体" w:cs="宋体"/>
          <w:sz w:val="24"/>
          <w:szCs w:val="24"/>
          <w:lang w:eastAsia="zh-CN"/>
        </w:rPr>
        <w:t>完成定期巡检工作，并</w:t>
      </w:r>
      <w:r>
        <w:rPr>
          <w:rFonts w:hint="eastAsia" w:ascii="宋体" w:hAnsi="宋体" w:eastAsia="宋体" w:cs="宋体"/>
          <w:sz w:val="24"/>
          <w:szCs w:val="24"/>
        </w:rPr>
        <w:t>提交巡检相关的报表、报告、日志记录、统计分析、评测报告等材料。</w:t>
      </w:r>
    </w:p>
    <w:p w14:paraId="19EDAD1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5BE6268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定期</w:t>
      </w:r>
      <w:r>
        <w:rPr>
          <w:rFonts w:hint="eastAsia" w:ascii="宋体" w:hAnsi="宋体" w:eastAsia="宋体" w:cs="宋体"/>
          <w:sz w:val="24"/>
          <w:szCs w:val="24"/>
        </w:rPr>
        <w:t>巡检工作情况考核（分值</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14:paraId="62F0980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巡检的，每个站扣1分；</w:t>
      </w:r>
    </w:p>
    <w:p w14:paraId="234802D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②逾期超过10天仍未进行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巡检的，每个站的扣5分；</w:t>
      </w:r>
    </w:p>
    <w:p w14:paraId="440708A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w:t>
      </w:r>
      <w:r>
        <w:rPr>
          <w:rFonts w:hint="eastAsia" w:ascii="宋体" w:hAnsi="宋体" w:eastAsia="宋体" w:cs="宋体"/>
          <w:sz w:val="24"/>
          <w:szCs w:val="24"/>
          <w:lang w:eastAsia="zh-CN"/>
        </w:rPr>
        <w:t>定期</w:t>
      </w:r>
      <w:r>
        <w:rPr>
          <w:rFonts w:hint="eastAsia" w:ascii="宋体" w:hAnsi="宋体" w:eastAsia="宋体" w:cs="宋体"/>
          <w:sz w:val="24"/>
          <w:szCs w:val="24"/>
        </w:rPr>
        <w:t>巡检工作事项未完成的，每发现一项扣2分；</w:t>
      </w:r>
    </w:p>
    <w:p w14:paraId="69FBA28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eastAsia="zh-CN"/>
        </w:rPr>
        <w:t>定期</w:t>
      </w:r>
      <w:r>
        <w:rPr>
          <w:rFonts w:hint="eastAsia" w:ascii="宋体" w:hAnsi="宋体" w:eastAsia="宋体" w:cs="宋体"/>
          <w:sz w:val="24"/>
          <w:szCs w:val="24"/>
        </w:rPr>
        <w:t>巡检弄虚作假的，每发现一次扣10分。</w:t>
      </w:r>
    </w:p>
    <w:p w14:paraId="5775BB6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14:paraId="35AD411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①逾期提交的每次扣1分；</w:t>
      </w:r>
    </w:p>
    <w:p w14:paraId="3F70E5A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②逾期超过5天仍未提交的扣5分；</w:t>
      </w:r>
    </w:p>
    <w:p w14:paraId="08C1805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③材料编制不规范且存在错误每发现一次扣2分；</w:t>
      </w:r>
    </w:p>
    <w:p w14:paraId="46A22E5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④提交的材料每少一份扣1分；</w:t>
      </w:r>
    </w:p>
    <w:p w14:paraId="276BAAF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⑤提交的材料报告作假的，每发现一次扣5分。</w:t>
      </w:r>
    </w:p>
    <w:p w14:paraId="74F11CD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2.日常检查情况考核（2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14:paraId="79B15F8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应根据服务周期要求按规定完成站点的日常检查工作</w:t>
      </w:r>
      <w:r>
        <w:rPr>
          <w:rFonts w:hint="eastAsia" w:ascii="宋体" w:hAnsi="宋体" w:eastAsia="宋体" w:cs="宋体"/>
          <w:sz w:val="24"/>
          <w:szCs w:val="24"/>
          <w:lang w:eastAsia="zh-CN"/>
        </w:rPr>
        <w:t>，并</w:t>
      </w:r>
      <w:r>
        <w:rPr>
          <w:rFonts w:hint="eastAsia" w:ascii="宋体" w:hAnsi="宋体" w:eastAsia="宋体" w:cs="宋体"/>
          <w:sz w:val="24"/>
          <w:szCs w:val="24"/>
        </w:rPr>
        <w:t>按时提交日常检查相关的报表、报告、日志记录、统计分析、评测报告等材料。</w:t>
      </w:r>
    </w:p>
    <w:p w14:paraId="04456BF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3361B51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）日常检查工作情况考核（分值1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3FA3C2E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①逾期未进行日常检查的，每个站扣1分；</w:t>
      </w:r>
    </w:p>
    <w:p w14:paraId="0CB4D43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②逾期超过10天仍未进行日常检查的，每个站的扣5分；</w:t>
      </w:r>
    </w:p>
    <w:p w14:paraId="48F4FD6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③日常检查工作事项未完成的，每发现一项扣2分；</w:t>
      </w:r>
    </w:p>
    <w:p w14:paraId="7BEA8F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④日常检查弄虚作假的，每发现一次扣10分。</w:t>
      </w:r>
    </w:p>
    <w:p w14:paraId="6FE8D48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14:paraId="05454FE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①逾期提交的每次扣1分；</w:t>
      </w:r>
    </w:p>
    <w:p w14:paraId="3435039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②逾期超过5天仍未提交的扣5分；</w:t>
      </w:r>
    </w:p>
    <w:p w14:paraId="53B4985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③材料编制不规范且存在错误每发现一次扣2分；</w:t>
      </w:r>
    </w:p>
    <w:p w14:paraId="60EA59F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④提交的材料每少一份扣1分；</w:t>
      </w:r>
    </w:p>
    <w:p w14:paraId="634013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⑤提交的材料报告作假的，每发现一次扣5分。</w:t>
      </w:r>
    </w:p>
    <w:p w14:paraId="5D1E528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3.应急及重大活动保障运维情况考核（10分）</w:t>
      </w:r>
    </w:p>
    <w:p w14:paraId="42606A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中标人应根据实际的应急及重大活动保障运维需求，按要求完成运维保障服务，并提交相应的材料、报表、预案、措施等材料。</w:t>
      </w:r>
    </w:p>
    <w:p w14:paraId="4EC151E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考核要求和扣分标准如下：</w:t>
      </w:r>
    </w:p>
    <w:p w14:paraId="437E9FF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（1）材料和报告提交情况考核（分值5分）</w:t>
      </w:r>
    </w:p>
    <w:p w14:paraId="2C84B6A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①逾期提交的每次扣1分；</w:t>
      </w:r>
    </w:p>
    <w:p w14:paraId="33C4737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14:paraId="73BB80D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14:paraId="233DAF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④提交的材料每少一份扣1分；</w:t>
      </w:r>
    </w:p>
    <w:p w14:paraId="554C89D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⑤提交的材料报告作假的，每发现一次扣5分。</w:t>
      </w:r>
    </w:p>
    <w:p w14:paraId="341B90F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（2）应急维护及重大活动保障工作情况考核（分值5分）</w:t>
      </w:r>
    </w:p>
    <w:p w14:paraId="2512FA3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①未做好应急维护工作的，每次扣1分；</w:t>
      </w:r>
    </w:p>
    <w:p w14:paraId="54BC83F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②未按时完成灾后恢复工作的，每次扣2分；</w:t>
      </w:r>
    </w:p>
    <w:p w14:paraId="46D70F3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③重大活动保障提供的服务不到位，每次扣1分；</w:t>
      </w:r>
    </w:p>
    <w:p w14:paraId="749935A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④未做好专项巡检工作的，每次扣2分。</w:t>
      </w:r>
    </w:p>
    <w:p w14:paraId="674F0B3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.故障排查及维修服务情况考核（2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14:paraId="3D823F5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中标人应根据设备故障处置维修响应级别规定的时间及时进行故障排查维修，并按要求提供相关故障排查分析、解决、处理等报告材料。</w:t>
      </w:r>
    </w:p>
    <w:p w14:paraId="31D4712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考核要求和扣分标准如下：</w:t>
      </w:r>
    </w:p>
    <w:p w14:paraId="31559BA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）故障排查及维修服务工作情况考核（分值1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056B2FD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①故障发生后响应不及时的，每次扣1分；</w:t>
      </w:r>
    </w:p>
    <w:p w14:paraId="12355FD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②故障发生后未按要求到达现场处理的，每次扣2分；</w:t>
      </w:r>
    </w:p>
    <w:p w14:paraId="0DC7CA1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③故障发生后未按要求处理和解决故障的，每次扣3分；</w:t>
      </w:r>
    </w:p>
    <w:p w14:paraId="4802D9B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）故障材料、报告提交情况考核（分值</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517462C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①逾期提交的每次扣1分；</w:t>
      </w:r>
    </w:p>
    <w:p w14:paraId="6D9038F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14:paraId="7F2DF12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14:paraId="59A55E4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④提交的材料报告作假的，每发现一次扣5分。</w:t>
      </w:r>
    </w:p>
    <w:p w14:paraId="5F1EC84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5.运维服务抽查考核（10分）</w:t>
      </w:r>
    </w:p>
    <w:p w14:paraId="5498042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应根据服务要求及时处理好故障问题，保证设备系统运行完好率，采购人抽查设备的完好率。</w:t>
      </w:r>
    </w:p>
    <w:p w14:paraId="265B435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5764181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（1）全年设备完好率考核（分值10分）</w:t>
      </w:r>
    </w:p>
    <w:p w14:paraId="48183A5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①中标人每个季度上报设备完好率，完好率低于90%的，每次扣1分；</w:t>
      </w:r>
    </w:p>
    <w:p w14:paraId="243F2F2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②经抽查后完好率未达90%的，完好率每下降2个百分点扣1分；</w:t>
      </w:r>
    </w:p>
    <w:p w14:paraId="3431E6E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③采购人抽查后每发现一次完好率未达90%的，每次扣2分；</w:t>
      </w:r>
    </w:p>
    <w:p w14:paraId="2215517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备注：由于进口设备、天线故障及运营商原因导致的网络故障等情况，且经采购人同意后正在维修的故障情况，不计入完好率考核。</w:t>
      </w:r>
    </w:p>
    <w:p w14:paraId="2865A93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6.运维服务态度情况考核（5分）</w:t>
      </w:r>
    </w:p>
    <w:p w14:paraId="5E6D06A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45CB56F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服务态度情况考核（分值</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4F09F9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①服务态度原因发生用户投诉的，每次扣1分；</w:t>
      </w:r>
    </w:p>
    <w:p w14:paraId="50DEF64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②参与协助配合的服务工作不积极或接受服务任务讨价还价的，每次扣3分；</w:t>
      </w:r>
    </w:p>
    <w:p w14:paraId="7C517C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③提供维护服务工作态度差，服务热情低的，每次扣1分；</w:t>
      </w:r>
    </w:p>
    <w:p w14:paraId="691CC9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④不服从采购人管理的，扣5分。</w:t>
      </w:r>
    </w:p>
    <w:p w14:paraId="3F27102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7.服务单位遵守规章情况考核（5分）</w:t>
      </w:r>
    </w:p>
    <w:p w14:paraId="7DB71C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707D242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遵守规章情况考核（分值10分）</w:t>
      </w:r>
    </w:p>
    <w:p w14:paraId="2804C6B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①违反安全、保密管理规定的，每次扣2分；</w:t>
      </w:r>
    </w:p>
    <w:p w14:paraId="2E3FF40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②未遵守采购人的规章制度和工作守则的，每次扣1分；</w:t>
      </w:r>
    </w:p>
    <w:p w14:paraId="59E5ADB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③未做好机房环境卫生和安全等日常管理和应急事项的紧急处置，每次扣2分；</w:t>
      </w:r>
    </w:p>
    <w:p w14:paraId="40333D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④安全管理未落实到位的，每次扣1分；</w:t>
      </w:r>
    </w:p>
    <w:p w14:paraId="2DF07C5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⑤每发现一次违反采购人工作规则的，每次扣2分。</w:t>
      </w:r>
    </w:p>
    <w:p w14:paraId="2E41D7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NTU3NmQ1NjMzOTBkNzU4MDJlOWZlNDUzMzY0NDYifQ=="/>
  </w:docVars>
  <w:rsids>
    <w:rsidRoot w:val="00980DCC"/>
    <w:rsid w:val="000F7C58"/>
    <w:rsid w:val="00294725"/>
    <w:rsid w:val="002F3EBF"/>
    <w:rsid w:val="00307E79"/>
    <w:rsid w:val="00392A2E"/>
    <w:rsid w:val="0057294F"/>
    <w:rsid w:val="00590E47"/>
    <w:rsid w:val="008524E0"/>
    <w:rsid w:val="00980DCC"/>
    <w:rsid w:val="00A53643"/>
    <w:rsid w:val="00AD69ED"/>
    <w:rsid w:val="00B95CE1"/>
    <w:rsid w:val="02922C89"/>
    <w:rsid w:val="02D54924"/>
    <w:rsid w:val="03D976C6"/>
    <w:rsid w:val="05EA3EAD"/>
    <w:rsid w:val="06336531"/>
    <w:rsid w:val="07B216D8"/>
    <w:rsid w:val="08B31BA6"/>
    <w:rsid w:val="09A6701A"/>
    <w:rsid w:val="0A1641A0"/>
    <w:rsid w:val="0A2837BA"/>
    <w:rsid w:val="0B84338B"/>
    <w:rsid w:val="0C0B3D36"/>
    <w:rsid w:val="0C1B311F"/>
    <w:rsid w:val="0C236700"/>
    <w:rsid w:val="0CB67574"/>
    <w:rsid w:val="0D4D690E"/>
    <w:rsid w:val="0EF97BEC"/>
    <w:rsid w:val="0F696B20"/>
    <w:rsid w:val="0F76123D"/>
    <w:rsid w:val="10501A8E"/>
    <w:rsid w:val="115832F0"/>
    <w:rsid w:val="11AD4B23"/>
    <w:rsid w:val="122139C2"/>
    <w:rsid w:val="12850115"/>
    <w:rsid w:val="130A23C8"/>
    <w:rsid w:val="133E75E1"/>
    <w:rsid w:val="14973315"/>
    <w:rsid w:val="167F0FF0"/>
    <w:rsid w:val="16DC2230"/>
    <w:rsid w:val="17B03166"/>
    <w:rsid w:val="18FA2EDF"/>
    <w:rsid w:val="196B7938"/>
    <w:rsid w:val="1A6D6BAE"/>
    <w:rsid w:val="1AA72BF2"/>
    <w:rsid w:val="1CA13D9D"/>
    <w:rsid w:val="1D772D50"/>
    <w:rsid w:val="1D9E02DC"/>
    <w:rsid w:val="1FB913FE"/>
    <w:rsid w:val="244D65B8"/>
    <w:rsid w:val="264B6524"/>
    <w:rsid w:val="269F0C21"/>
    <w:rsid w:val="28D538B1"/>
    <w:rsid w:val="2916341D"/>
    <w:rsid w:val="2AF06FFB"/>
    <w:rsid w:val="2CD0422B"/>
    <w:rsid w:val="2D6B7AAF"/>
    <w:rsid w:val="2FBE65BC"/>
    <w:rsid w:val="30694840"/>
    <w:rsid w:val="33EB11D5"/>
    <w:rsid w:val="36B129D7"/>
    <w:rsid w:val="374775D7"/>
    <w:rsid w:val="3AE315CD"/>
    <w:rsid w:val="3B1B2B15"/>
    <w:rsid w:val="3B572D45"/>
    <w:rsid w:val="3C1419FA"/>
    <w:rsid w:val="3DB039E8"/>
    <w:rsid w:val="3DBA6615"/>
    <w:rsid w:val="3E5F71BC"/>
    <w:rsid w:val="3E6E1F3A"/>
    <w:rsid w:val="3FB86B84"/>
    <w:rsid w:val="405A3884"/>
    <w:rsid w:val="424A0521"/>
    <w:rsid w:val="429217AF"/>
    <w:rsid w:val="42A95371"/>
    <w:rsid w:val="43D23F8D"/>
    <w:rsid w:val="44227E13"/>
    <w:rsid w:val="468123C6"/>
    <w:rsid w:val="472B7988"/>
    <w:rsid w:val="479A54F2"/>
    <w:rsid w:val="47FC3AEE"/>
    <w:rsid w:val="494726E8"/>
    <w:rsid w:val="4A421E6C"/>
    <w:rsid w:val="4A6A13C3"/>
    <w:rsid w:val="4A7638C4"/>
    <w:rsid w:val="4ADB5E1D"/>
    <w:rsid w:val="4C5B7215"/>
    <w:rsid w:val="4D1D096E"/>
    <w:rsid w:val="4F4026F2"/>
    <w:rsid w:val="4F812BA9"/>
    <w:rsid w:val="50760AC1"/>
    <w:rsid w:val="511D718F"/>
    <w:rsid w:val="51505C0D"/>
    <w:rsid w:val="53035F10"/>
    <w:rsid w:val="55AF2380"/>
    <w:rsid w:val="55DFB794"/>
    <w:rsid w:val="58EB7B73"/>
    <w:rsid w:val="5A0F7891"/>
    <w:rsid w:val="5A805270"/>
    <w:rsid w:val="5C375744"/>
    <w:rsid w:val="5E1C432A"/>
    <w:rsid w:val="5EE4309A"/>
    <w:rsid w:val="5F182D44"/>
    <w:rsid w:val="5F93468B"/>
    <w:rsid w:val="60EE1FAE"/>
    <w:rsid w:val="62210161"/>
    <w:rsid w:val="622F4911"/>
    <w:rsid w:val="63302D52"/>
    <w:rsid w:val="64B93526"/>
    <w:rsid w:val="64BA248B"/>
    <w:rsid w:val="64CA2D32"/>
    <w:rsid w:val="65AD48B9"/>
    <w:rsid w:val="65C0474F"/>
    <w:rsid w:val="67010561"/>
    <w:rsid w:val="6A4502BD"/>
    <w:rsid w:val="6A7C4ACE"/>
    <w:rsid w:val="6AFE1987"/>
    <w:rsid w:val="6B542CF9"/>
    <w:rsid w:val="6BFE31BA"/>
    <w:rsid w:val="6CF272CA"/>
    <w:rsid w:val="6F0F0799"/>
    <w:rsid w:val="723839D1"/>
    <w:rsid w:val="75645AA5"/>
    <w:rsid w:val="763B75EC"/>
    <w:rsid w:val="78632E2A"/>
    <w:rsid w:val="7A1940E8"/>
    <w:rsid w:val="7A444A03"/>
    <w:rsid w:val="7A7B26AD"/>
    <w:rsid w:val="7AF1296F"/>
    <w:rsid w:val="7B237FEE"/>
    <w:rsid w:val="7B83585A"/>
    <w:rsid w:val="7BE402A5"/>
    <w:rsid w:val="7C793F78"/>
    <w:rsid w:val="7C9B7203"/>
    <w:rsid w:val="7D873368"/>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99"/>
    <w:pPr>
      <w:ind w:firstLine="420" w:firstLineChars="200"/>
    </w:p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customStyle="1" w:styleId="14">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5">
    <w:name w:val="页脚 Char"/>
    <w:basedOn w:val="12"/>
    <w:link w:val="7"/>
    <w:autoRedefine/>
    <w:qFormat/>
    <w:uiPriority w:val="0"/>
    <w:rPr>
      <w:rFonts w:asciiTheme="minorHAnsi" w:hAnsiTheme="minorHAnsi" w:eastAsiaTheme="minorEastAsia" w:cstheme="minorBidi"/>
      <w:kern w:val="2"/>
      <w:sz w:val="18"/>
      <w:szCs w:val="18"/>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23</Pages>
  <Words>982</Words>
  <Characters>1105</Characters>
  <Lines>119</Lines>
  <Paragraphs>33</Paragraphs>
  <TotalTime>0</TotalTime>
  <ScaleCrop>false</ScaleCrop>
  <LinksUpToDate>false</LinksUpToDate>
  <CharactersWithSpaces>1108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WPS</cp:lastModifiedBy>
  <dcterms:modified xsi:type="dcterms:W3CDTF">2025-04-25T03:31:26Z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989E6F73ECAA4F9E8979ED9386E3BAF4_13</vt:lpwstr>
  </property>
  <property fmtid="{D5CDD505-2E9C-101B-9397-08002B2CF9AE}" pid="4" name="KSOTemplateDocerSaveRecord">
    <vt:lpwstr>eyJoZGlkIjoiOTAxYmFlZTQ3YTQ3YWFlZTZkYWI0Y2I0YWI2Y2EzNTciLCJ1c2VySWQiOiI0MTk5MTUxNjYifQ==</vt:lpwstr>
  </property>
</Properties>
</file>