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大标宋简体" w:eastAsia="方正大标宋简体"/>
          <w:sz w:val="44"/>
        </w:rPr>
      </w:pPr>
      <w:r>
        <w:rPr>
          <w:rFonts w:hint="eastAsia" w:ascii="方正大标宋简体" w:eastAsia="方正大标宋简体"/>
          <w:sz w:val="44"/>
        </w:rPr>
        <w:t>服务供应商报价单</w:t>
      </w:r>
    </w:p>
    <w:p>
      <w:pPr>
        <w:rPr>
          <w:rFonts w:hint="eastAsia" w:ascii="仿宋_GB2312" w:eastAsia="仿宋_GB2312"/>
          <w:sz w:val="32"/>
          <w:szCs w:val="32"/>
        </w:rPr>
      </w:pPr>
    </w:p>
    <w:p>
      <w:pPr>
        <w:rPr>
          <w:rFonts w:hint="eastAsia" w:ascii="方正小标宋简体" w:eastAsia="方正小标宋简体"/>
          <w:sz w:val="44"/>
        </w:rPr>
      </w:pPr>
      <w:r>
        <w:rPr>
          <w:rFonts w:hint="eastAsia" w:ascii="仿宋_GB2312" w:eastAsia="仿宋_GB2312"/>
          <w:sz w:val="32"/>
          <w:szCs w:val="32"/>
        </w:rPr>
        <w:t>厦门市无线电管理局：</w:t>
      </w:r>
    </w:p>
    <w:p>
      <w:pPr>
        <w:tabs>
          <w:tab w:val="left" w:pos="2800"/>
        </w:tabs>
        <w:ind w:firstLine="640" w:firstLineChars="200"/>
        <w:rPr>
          <w:rFonts w:hint="eastAsia" w:ascii="仿宋_GB2312" w:eastAsia="仿宋_GB2312"/>
          <w:sz w:val="32"/>
          <w:szCs w:val="32"/>
        </w:rPr>
      </w:pPr>
      <w:r>
        <w:rPr>
          <w:rFonts w:hint="eastAsia" w:ascii="仿宋_GB2312" w:eastAsia="仿宋_GB2312"/>
          <w:sz w:val="32"/>
          <w:szCs w:val="32"/>
        </w:rPr>
        <w:t>关于本次询价的厦门海域电磁频谱监测研究服务</w:t>
      </w:r>
      <w:r>
        <w:rPr>
          <w:rFonts w:hint="eastAsia" w:ascii="仿宋_GB2312" w:eastAsia="仿宋_GB2312"/>
          <w:sz w:val="32"/>
          <w:szCs w:val="32"/>
          <w:lang w:eastAsia="zh-CN"/>
        </w:rPr>
        <w:t>项目</w:t>
      </w:r>
      <w:r>
        <w:rPr>
          <w:rFonts w:hint="eastAsia" w:ascii="仿宋_GB2312" w:eastAsia="仿宋_GB2312"/>
          <w:sz w:val="32"/>
          <w:szCs w:val="32"/>
        </w:rPr>
        <w:t>，我单位已详细阅读了贵局发布的</w:t>
      </w:r>
      <w:r>
        <w:rPr>
          <w:rFonts w:hint="eastAsia" w:ascii="仿宋_GB2312" w:eastAsia="仿宋_GB2312"/>
          <w:sz w:val="32"/>
          <w:szCs w:val="32"/>
          <w:lang w:eastAsia="zh-CN"/>
        </w:rPr>
        <w:t>市场</w:t>
      </w:r>
      <w:r>
        <w:rPr>
          <w:rFonts w:hint="eastAsia" w:ascii="仿宋_GB2312" w:eastAsia="仿宋_GB2312"/>
          <w:sz w:val="32"/>
          <w:szCs w:val="32"/>
        </w:rPr>
        <w:t>询价内容，完全理解项目要求，决定参加报价。</w:t>
      </w:r>
    </w:p>
    <w:p>
      <w:pPr>
        <w:numPr>
          <w:ilvl w:val="0"/>
          <w:numId w:val="1"/>
        </w:numPr>
        <w:tabs>
          <w:tab w:val="left" w:pos="2800"/>
        </w:tabs>
        <w:rPr>
          <w:rFonts w:hint="eastAsia" w:ascii="黑体" w:eastAsia="黑体"/>
          <w:sz w:val="32"/>
          <w:szCs w:val="32"/>
        </w:rPr>
      </w:pPr>
      <w:r>
        <w:rPr>
          <w:rFonts w:hint="eastAsia" w:ascii="黑体" w:eastAsia="黑体"/>
          <w:sz w:val="32"/>
          <w:szCs w:val="32"/>
        </w:rPr>
        <w:t>报价表</w:t>
      </w:r>
    </w:p>
    <w:tbl>
      <w:tblPr>
        <w:tblStyle w:val="4"/>
        <w:tblpPr w:leftFromText="180" w:rightFromText="180" w:vertAnchor="text" w:horzAnchor="page" w:tblpX="2094" w:tblpY="31"/>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4" w:type="dxa"/>
            <w:noWrap w:val="0"/>
            <w:vAlign w:val="center"/>
          </w:tcPr>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项目名称</w:t>
            </w:r>
          </w:p>
        </w:tc>
        <w:tc>
          <w:tcPr>
            <w:tcW w:w="1784" w:type="dxa"/>
            <w:noWrap w:val="0"/>
            <w:vAlign w:val="center"/>
          </w:tcPr>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总价</w:t>
            </w:r>
          </w:p>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6474" w:type="dxa"/>
            <w:noWrap w:val="0"/>
            <w:vAlign w:val="center"/>
          </w:tcPr>
          <w:p>
            <w:pPr>
              <w:tabs>
                <w:tab w:val="left" w:pos="2800"/>
              </w:tabs>
              <w:jc w:val="left"/>
              <w:rPr>
                <w:rFonts w:hint="eastAsia" w:ascii="仿宋_GB2312" w:eastAsia="仿宋_GB2312"/>
                <w:color w:val="FF0000"/>
                <w:sz w:val="32"/>
                <w:szCs w:val="32"/>
              </w:rPr>
            </w:pPr>
            <w:r>
              <w:rPr>
                <w:rFonts w:hint="eastAsia" w:ascii="仿宋_GB2312" w:eastAsia="仿宋_GB2312"/>
                <w:sz w:val="32"/>
                <w:szCs w:val="32"/>
              </w:rPr>
              <w:t>厦门海域电磁频谱监测研究服务</w:t>
            </w:r>
          </w:p>
        </w:tc>
        <w:tc>
          <w:tcPr>
            <w:tcW w:w="1784" w:type="dxa"/>
            <w:noWrap w:val="0"/>
            <w:vAlign w:val="center"/>
          </w:tcPr>
          <w:p>
            <w:pPr>
              <w:tabs>
                <w:tab w:val="left" w:pos="2800"/>
              </w:tabs>
              <w:jc w:val="center"/>
              <w:rPr>
                <w:rFonts w:hint="eastAsia" w:ascii="仿宋_GB2312" w:eastAsia="仿宋_GB2312"/>
                <w:sz w:val="32"/>
                <w:szCs w:val="32"/>
              </w:rPr>
            </w:pPr>
          </w:p>
        </w:tc>
      </w:tr>
    </w:tbl>
    <w:p>
      <w:pPr>
        <w:numPr>
          <w:ilvl w:val="0"/>
          <w:numId w:val="1"/>
        </w:numPr>
        <w:tabs>
          <w:tab w:val="left" w:pos="2800"/>
        </w:tabs>
        <w:rPr>
          <w:rFonts w:hint="eastAsia" w:ascii="黑体" w:eastAsia="黑体"/>
          <w:sz w:val="32"/>
          <w:szCs w:val="32"/>
        </w:rPr>
      </w:pPr>
      <w:r>
        <w:rPr>
          <w:rFonts w:hint="eastAsia" w:ascii="黑体" w:eastAsia="黑体"/>
          <w:sz w:val="32"/>
          <w:szCs w:val="32"/>
          <w:lang w:eastAsia="zh-CN"/>
        </w:rPr>
        <w:t>佐证材料</w:t>
      </w:r>
    </w:p>
    <w:p>
      <w:pPr>
        <w:tabs>
          <w:tab w:val="left" w:pos="2800"/>
        </w:tabs>
        <w:ind w:left="640"/>
        <w:rPr>
          <w:rFonts w:hint="eastAsia" w:ascii="仿宋_GB2312" w:hAnsi="等线" w:eastAsia="仿宋_GB2312" w:cs="Times New Roman"/>
          <w:sz w:val="32"/>
          <w:szCs w:val="32"/>
        </w:rPr>
      </w:pPr>
      <w:r>
        <w:rPr>
          <w:rFonts w:hint="eastAsia" w:ascii="仿宋_GB2312" w:hAnsi="等线" w:eastAsia="仿宋_GB2312" w:cs="Times New Roman"/>
          <w:sz w:val="32"/>
          <w:szCs w:val="32"/>
          <w:lang w:eastAsia="zh-CN"/>
        </w:rPr>
        <w:t>见附件《证明材料提交清单》</w:t>
      </w:r>
    </w:p>
    <w:p>
      <w:pPr>
        <w:numPr>
          <w:ilvl w:val="0"/>
          <w:numId w:val="1"/>
        </w:numPr>
        <w:tabs>
          <w:tab w:val="left" w:pos="2800"/>
        </w:tabs>
        <w:rPr>
          <w:rFonts w:hint="eastAsia" w:ascii="黑体" w:eastAsia="黑体"/>
          <w:sz w:val="32"/>
          <w:szCs w:val="32"/>
        </w:rPr>
      </w:pPr>
      <w:r>
        <w:rPr>
          <w:rFonts w:hint="eastAsia" w:ascii="黑体" w:eastAsia="黑体"/>
          <w:sz w:val="32"/>
          <w:szCs w:val="32"/>
        </w:rPr>
        <w:t>联系方式</w:t>
      </w:r>
    </w:p>
    <w:p>
      <w:pPr>
        <w:tabs>
          <w:tab w:val="left" w:pos="2800"/>
        </w:tabs>
        <w:ind w:left="640"/>
        <w:rPr>
          <w:rFonts w:hint="eastAsia" w:ascii="仿宋_GB2312" w:eastAsia="仿宋_GB2312"/>
          <w:sz w:val="32"/>
          <w:szCs w:val="32"/>
        </w:rPr>
      </w:pPr>
      <w:r>
        <w:rPr>
          <w:rFonts w:hint="eastAsia" w:ascii="仿宋_GB2312" w:eastAsia="仿宋_GB2312"/>
          <w:sz w:val="32"/>
          <w:szCs w:val="32"/>
        </w:rPr>
        <w:t>联系人：***       联系电话：***</w:t>
      </w:r>
    </w:p>
    <w:p>
      <w:pPr>
        <w:tabs>
          <w:tab w:val="left" w:pos="2800"/>
        </w:tabs>
        <w:ind w:left="640"/>
        <w:rPr>
          <w:rFonts w:hint="eastAsia" w:ascii="仿宋_GB2312" w:eastAsia="仿宋_GB2312"/>
          <w:sz w:val="32"/>
          <w:szCs w:val="32"/>
        </w:rPr>
      </w:pPr>
      <w:r>
        <w:rPr>
          <w:rFonts w:hint="eastAsia" w:ascii="仿宋_GB2312" w:eastAsia="仿宋_GB2312"/>
          <w:sz w:val="32"/>
          <w:szCs w:val="32"/>
        </w:rPr>
        <w:t>报价单位注册地详细地址：****</w:t>
      </w:r>
    </w:p>
    <w:p>
      <w:pPr>
        <w:tabs>
          <w:tab w:val="left" w:pos="2800"/>
        </w:tabs>
        <w:ind w:left="640"/>
        <w:rPr>
          <w:rFonts w:hint="eastAsia" w:ascii="仿宋_GB2312" w:hAnsi="等线" w:eastAsia="仿宋_GB2312" w:cs="Times New Roman"/>
          <w:sz w:val="32"/>
          <w:szCs w:val="32"/>
          <w:lang w:eastAsia="zh-CN"/>
        </w:rPr>
      </w:pPr>
    </w:p>
    <w:p>
      <w:pPr>
        <w:tabs>
          <w:tab w:val="left" w:pos="2800"/>
        </w:tabs>
        <w:ind w:left="640"/>
        <w:rPr>
          <w:rFonts w:hint="eastAsia" w:ascii="方正小标宋简体" w:eastAsia="方正小标宋简体"/>
          <w:sz w:val="44"/>
          <w:szCs w:val="44"/>
        </w:rPr>
      </w:pPr>
      <w:r>
        <w:rPr>
          <w:rFonts w:hint="eastAsia" w:ascii="方正小标宋简体" w:eastAsia="方正小标宋简体"/>
          <w:sz w:val="44"/>
          <w:szCs w:val="44"/>
        </w:rPr>
        <w:t xml:space="preserve">               </w:t>
      </w:r>
    </w:p>
    <w:p>
      <w:pPr>
        <w:tabs>
          <w:tab w:val="left" w:pos="2800"/>
        </w:tabs>
        <w:ind w:left="640"/>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仿宋_GB2312" w:eastAsia="仿宋_GB2312"/>
          <w:sz w:val="32"/>
          <w:szCs w:val="32"/>
        </w:rPr>
        <w:t>报价单位（盖章）：***</w:t>
      </w:r>
    </w:p>
    <w:p>
      <w:pPr>
        <w:tabs>
          <w:tab w:val="left" w:pos="2800"/>
        </w:tabs>
        <w:ind w:left="640"/>
        <w:rPr>
          <w:rFonts w:hint="eastAsia" w:ascii="仿宋_GB2312" w:eastAsia="仿宋_GB2312"/>
          <w:sz w:val="32"/>
          <w:szCs w:val="32"/>
        </w:rPr>
      </w:pPr>
      <w:r>
        <w:rPr>
          <w:rFonts w:hint="eastAsia" w:ascii="仿宋_GB2312" w:eastAsia="仿宋_GB2312"/>
          <w:sz w:val="32"/>
          <w:szCs w:val="32"/>
        </w:rPr>
        <w:t xml:space="preserve">                      日期：202</w:t>
      </w:r>
      <w:r>
        <w:rPr>
          <w:rFonts w:hint="eastAsia" w:ascii="仿宋_GB2312" w:eastAsia="仿宋_GB2312"/>
          <w:sz w:val="32"/>
          <w:szCs w:val="32"/>
          <w:lang w:val="en-US" w:eastAsia="zh-CN"/>
        </w:rPr>
        <w:t>5</w:t>
      </w:r>
      <w:r>
        <w:rPr>
          <w:rFonts w:hint="eastAsia" w:ascii="仿宋_GB2312" w:eastAsia="仿宋_GB2312"/>
          <w:sz w:val="32"/>
          <w:szCs w:val="32"/>
        </w:rPr>
        <w:t>年**月**日</w:t>
      </w:r>
    </w:p>
    <w:p>
      <w:pPr>
        <w:numPr>
          <w:ilvl w:val="0"/>
          <w:numId w:val="0"/>
        </w:numPr>
        <w:tabs>
          <w:tab w:val="left" w:pos="2800"/>
        </w:tabs>
        <w:rPr>
          <w:rFonts w:hint="eastAsia" w:ascii="仿宋_GB2312" w:eastAsia="仿宋_GB2312"/>
          <w:sz w:val="32"/>
          <w:szCs w:val="32"/>
          <w:lang w:eastAsia="zh-CN"/>
        </w:rPr>
      </w:pPr>
      <w:r>
        <w:rPr>
          <w:rFonts w:hint="eastAsia" w:ascii="仿宋_GB2312" w:eastAsia="仿宋_GB2312"/>
          <w:sz w:val="32"/>
          <w:szCs w:val="32"/>
        </w:rPr>
        <w:br w:type="page"/>
      </w:r>
      <w:r>
        <w:rPr>
          <w:rFonts w:hint="eastAsia" w:ascii="黑体" w:hAnsi="黑体" w:eastAsia="黑体" w:cs="黑体"/>
          <w:sz w:val="32"/>
          <w:szCs w:val="32"/>
          <w:lang w:eastAsia="zh-CN"/>
        </w:rPr>
        <w:t>附件</w:t>
      </w:r>
    </w:p>
    <w:p>
      <w:pPr>
        <w:numPr>
          <w:ilvl w:val="0"/>
          <w:numId w:val="0"/>
        </w:numPr>
        <w:tabs>
          <w:tab w:val="left" w:pos="2800"/>
        </w:tabs>
        <w:ind w:left="640" w:leftChars="0"/>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证明</w:t>
      </w:r>
      <w:r>
        <w:rPr>
          <w:rFonts w:hint="eastAsia" w:ascii="方正小标宋简体" w:hAnsi="方正小标宋简体" w:eastAsia="方正小标宋简体" w:cs="方正小标宋简体"/>
          <w:sz w:val="40"/>
          <w:szCs w:val="40"/>
        </w:rPr>
        <w:t>材料</w:t>
      </w:r>
      <w:r>
        <w:rPr>
          <w:rFonts w:hint="eastAsia" w:ascii="方正小标宋简体" w:hAnsi="方正小标宋简体" w:eastAsia="方正小标宋简体" w:cs="方正小标宋简体"/>
          <w:sz w:val="40"/>
          <w:szCs w:val="40"/>
          <w:lang w:eastAsia="zh-CN"/>
        </w:rPr>
        <w:t>提交清单</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（一）服务供应商报价单；</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（二）营业执照副本复印件；</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（三）法定代表人对授权代表人的授权书及法定代表人身份证复印件、授权代表人的身份证复印件；</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（四）政府采购法第二十二条规定条件相关材料；</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1.具有独立承担民事责任的能力声明函；</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2.财务状况报告（财务报告、或资信证明）；</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3.具备履行合同所必需设备和专业技术能力的声明函；</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4.依法缴纳税收证明材料；</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5.依法缴纳社会保障资金证明材料；</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6.参加采购活动前三年内没有重大违法记录书面声明。</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（五）近三年（2022-2024年）服务业绩（无线电管理领域服务业绩）；</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（六）联合体声明；</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（七）附件1《采购内容及要求》响应文件，具体如下：</w:t>
      </w:r>
    </w:p>
    <w:p>
      <w:pPr>
        <w:tabs>
          <w:tab w:val="left" w:pos="2800"/>
        </w:tabs>
        <w:ind w:firstLine="643" w:firstLineChars="200"/>
        <w:rPr>
          <w:rFonts w:hint="eastAsia"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t>1.软硬件设施清单（供参考）</w:t>
      </w:r>
    </w:p>
    <w:tbl>
      <w:tblPr>
        <w:tblStyle w:val="5"/>
        <w:tblW w:w="8962"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52"/>
        <w:gridCol w:w="2306"/>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序号</w:t>
            </w:r>
          </w:p>
        </w:tc>
        <w:tc>
          <w:tcPr>
            <w:tcW w:w="4052" w:type="dxa"/>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设备名称</w:t>
            </w:r>
          </w:p>
        </w:tc>
        <w:tc>
          <w:tcPr>
            <w:tcW w:w="2306" w:type="dxa"/>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规格型号</w:t>
            </w:r>
          </w:p>
        </w:tc>
        <w:tc>
          <w:tcPr>
            <w:tcW w:w="1648" w:type="dxa"/>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1</w:t>
            </w:r>
          </w:p>
        </w:tc>
        <w:tc>
          <w:tcPr>
            <w:tcW w:w="4052"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监测接收机</w:t>
            </w: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2</w:t>
            </w:r>
          </w:p>
        </w:tc>
        <w:tc>
          <w:tcPr>
            <w:tcW w:w="4052"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测向接收机</w:t>
            </w: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3</w:t>
            </w:r>
          </w:p>
        </w:tc>
        <w:tc>
          <w:tcPr>
            <w:tcW w:w="4052"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天线</w:t>
            </w: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4</w:t>
            </w:r>
          </w:p>
        </w:tc>
        <w:tc>
          <w:tcPr>
            <w:tcW w:w="4052"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w:t>
            </w: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eastAsia" w:ascii="仿宋_GB2312" w:hAnsi="等线" w:eastAsia="仿宋_GB2312" w:cs="Times New Roman"/>
                <w:sz w:val="32"/>
                <w:szCs w:val="32"/>
                <w:lang w:val="en-US" w:eastAsia="zh-CN"/>
              </w:rPr>
            </w:pPr>
          </w:p>
        </w:tc>
        <w:tc>
          <w:tcPr>
            <w:tcW w:w="4052" w:type="dxa"/>
            <w:vAlign w:val="center"/>
          </w:tcPr>
          <w:p>
            <w:pPr>
              <w:tabs>
                <w:tab w:val="left" w:pos="2800"/>
              </w:tabs>
              <w:ind w:firstLine="640" w:firstLineChars="200"/>
              <w:jc w:val="center"/>
              <w:rPr>
                <w:rFonts w:hint="eastAsia" w:ascii="仿宋_GB2312" w:hAnsi="等线" w:eastAsia="仿宋_GB2312" w:cs="Times New Roman"/>
                <w:sz w:val="32"/>
                <w:szCs w:val="32"/>
                <w:lang w:val="en-US" w:eastAsia="zh-CN"/>
              </w:rPr>
            </w:pP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tabs>
                <w:tab w:val="left" w:pos="2800"/>
              </w:tabs>
              <w:jc w:val="center"/>
              <w:rPr>
                <w:rFonts w:hint="eastAsia" w:ascii="仿宋_GB2312" w:hAnsi="等线" w:eastAsia="仿宋_GB2312" w:cs="Times New Roman"/>
                <w:sz w:val="32"/>
                <w:szCs w:val="32"/>
                <w:lang w:val="en-US" w:eastAsia="zh-CN"/>
              </w:rPr>
            </w:pPr>
          </w:p>
        </w:tc>
        <w:tc>
          <w:tcPr>
            <w:tcW w:w="4052" w:type="dxa"/>
            <w:vAlign w:val="center"/>
          </w:tcPr>
          <w:p>
            <w:pPr>
              <w:tabs>
                <w:tab w:val="left" w:pos="2800"/>
              </w:tabs>
              <w:ind w:firstLine="640" w:firstLineChars="200"/>
              <w:jc w:val="center"/>
              <w:rPr>
                <w:rFonts w:hint="eastAsia" w:ascii="仿宋_GB2312" w:hAnsi="等线" w:eastAsia="仿宋_GB2312" w:cs="Times New Roman"/>
                <w:sz w:val="32"/>
                <w:szCs w:val="32"/>
                <w:lang w:val="en-US" w:eastAsia="zh-CN"/>
              </w:rPr>
            </w:pPr>
          </w:p>
        </w:tc>
        <w:tc>
          <w:tcPr>
            <w:tcW w:w="2306"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c>
          <w:tcPr>
            <w:tcW w:w="1648" w:type="dxa"/>
            <w:vAlign w:val="center"/>
          </w:tcPr>
          <w:p>
            <w:pPr>
              <w:tabs>
                <w:tab w:val="left" w:pos="2800"/>
              </w:tabs>
              <w:ind w:firstLine="640" w:firstLineChars="200"/>
              <w:jc w:val="center"/>
              <w:rPr>
                <w:rFonts w:hint="default" w:ascii="仿宋_GB2312" w:hAnsi="等线" w:eastAsia="仿宋_GB2312" w:cs="Times New Roman"/>
                <w:sz w:val="32"/>
                <w:szCs w:val="32"/>
                <w:lang w:val="en-US" w:eastAsia="zh-CN"/>
              </w:rPr>
            </w:pPr>
          </w:p>
        </w:tc>
      </w:tr>
    </w:tbl>
    <w:p>
      <w:pPr>
        <w:pStyle w:val="2"/>
        <w:rPr>
          <w:rFonts w:hint="default"/>
          <w:lang w:val="en-US" w:eastAsia="zh-CN"/>
        </w:rPr>
      </w:pPr>
    </w:p>
    <w:p>
      <w:pPr>
        <w:tabs>
          <w:tab w:val="left" w:pos="2800"/>
        </w:tabs>
        <w:ind w:firstLine="643"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b/>
          <w:bCs/>
          <w:sz w:val="32"/>
          <w:szCs w:val="32"/>
          <w:lang w:val="en-US" w:eastAsia="zh-CN"/>
        </w:rPr>
        <w:t>2.设备指标情况</w:t>
      </w:r>
    </w:p>
    <w:tbl>
      <w:tblPr>
        <w:tblStyle w:val="5"/>
        <w:tblW w:w="9057"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69"/>
        <w:gridCol w:w="2494"/>
        <w:gridCol w:w="2466"/>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序号</w:t>
            </w:r>
          </w:p>
        </w:tc>
        <w:tc>
          <w:tcPr>
            <w:tcW w:w="2269"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指标名称</w:t>
            </w:r>
          </w:p>
        </w:tc>
        <w:tc>
          <w:tcPr>
            <w:tcW w:w="2494"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指标要求</w:t>
            </w:r>
          </w:p>
        </w:tc>
        <w:tc>
          <w:tcPr>
            <w:tcW w:w="2466"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测试指标值</w:t>
            </w:r>
          </w:p>
        </w:tc>
        <w:tc>
          <w:tcPr>
            <w:tcW w:w="1041"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1</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监测</w:t>
            </w:r>
            <w:r>
              <w:rPr>
                <w:rFonts w:hint="eastAsia" w:ascii="仿宋_GB2312" w:hAnsi="等线" w:eastAsia="仿宋_GB2312" w:cs="Times New Roman"/>
                <w:color w:val="auto"/>
                <w:sz w:val="28"/>
                <w:szCs w:val="28"/>
                <w:vertAlign w:val="baseline"/>
                <w:lang w:val="en-US" w:eastAsia="zh-CN"/>
              </w:rPr>
              <w:t>灵敏度</w:t>
            </w:r>
          </w:p>
        </w:tc>
        <w:tc>
          <w:tcPr>
            <w:tcW w:w="2494" w:type="dxa"/>
            <w:vAlign w:val="center"/>
          </w:tcPr>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≤10dBμV/m </w:t>
            </w:r>
          </w:p>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（20～3000MHz）； </w:t>
            </w:r>
          </w:p>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≤15dBμV/m </w:t>
            </w:r>
          </w:p>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（3～6GHz/8GHz）</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2</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频率准确度（频率稳定度）</w:t>
            </w:r>
          </w:p>
        </w:tc>
        <w:tc>
          <w:tcPr>
            <w:tcW w:w="2494" w:type="dxa"/>
            <w:vAlign w:val="center"/>
          </w:tcPr>
          <w:p>
            <w:pPr>
              <w:keepNext w:val="0"/>
              <w:keepLines w:val="0"/>
              <w:widowControl/>
              <w:suppressLineNumbers w:val="0"/>
              <w:jc w:val="both"/>
              <w:rPr>
                <w:rFonts w:hint="eastAsia" w:ascii="仿宋_GB2312" w:hAnsi="等线" w:eastAsia="仿宋_GB2312" w:cs="Times New Roman"/>
                <w:sz w:val="20"/>
                <w:szCs w:val="20"/>
                <w:vertAlign w:val="baseline"/>
                <w:lang w:val="en-US" w:eastAsia="zh-CN"/>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4"/>
                <w:szCs w:val="24"/>
                <w:vertAlign w:val="superscript"/>
                <w:lang w:val="en-US" w:eastAsia="zh-CN" w:bidi="ar"/>
              </w:rPr>
              <w:t xml:space="preserve">-7 </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3</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二阶截断点</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≥60dBm</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4</w:t>
            </w:r>
          </w:p>
        </w:tc>
        <w:tc>
          <w:tcPr>
            <w:tcW w:w="2269" w:type="dxa"/>
            <w:vAlign w:val="center"/>
          </w:tcPr>
          <w:p>
            <w:pPr>
              <w:tabs>
                <w:tab w:val="left" w:pos="2800"/>
              </w:tabs>
              <w:jc w:val="both"/>
              <w:rPr>
                <w:rFonts w:hint="eastAsia"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三阶截断点</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≥20dBm</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5</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中频干扰抑制比</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≥90dB</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6</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镜频干扰抑制比</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≥90dB</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7</w:t>
            </w:r>
          </w:p>
        </w:tc>
        <w:tc>
          <w:tcPr>
            <w:tcW w:w="2269" w:type="dxa"/>
            <w:vAlign w:val="center"/>
          </w:tcPr>
          <w:p>
            <w:pPr>
              <w:tabs>
                <w:tab w:val="left" w:pos="2800"/>
              </w:tabs>
              <w:jc w:val="both"/>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扫描速度</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≥100GHz/s</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8</w:t>
            </w:r>
          </w:p>
        </w:tc>
        <w:tc>
          <w:tcPr>
            <w:tcW w:w="2269" w:type="dxa"/>
            <w:shd w:val="clear" w:color="auto" w:fill="auto"/>
            <w:vAlign w:val="center"/>
          </w:tcPr>
          <w:p>
            <w:pPr>
              <w:tabs>
                <w:tab w:val="left" w:pos="2800"/>
              </w:tabs>
              <w:jc w:val="both"/>
              <w:rPr>
                <w:rFonts w:hint="eastAsia" w:ascii="仿宋_GB2312" w:hAnsi="等线" w:eastAsia="仿宋_GB2312" w:cs="Times New Roman"/>
                <w:kern w:val="2"/>
                <w:sz w:val="28"/>
                <w:szCs w:val="28"/>
                <w:vertAlign w:val="baseline"/>
                <w:lang w:val="en-US" w:eastAsia="zh-CN" w:bidi="ar-SA"/>
              </w:rPr>
            </w:pPr>
            <w:r>
              <w:rPr>
                <w:rFonts w:hint="eastAsia" w:ascii="仿宋_GB2312" w:hAnsi="等线" w:eastAsia="仿宋_GB2312" w:cs="Times New Roman"/>
                <w:sz w:val="28"/>
                <w:szCs w:val="28"/>
                <w:vertAlign w:val="baseline"/>
                <w:lang w:val="en-US" w:eastAsia="zh-CN"/>
              </w:rPr>
              <w:t>测向灵敏度</w:t>
            </w:r>
          </w:p>
        </w:tc>
        <w:tc>
          <w:tcPr>
            <w:tcW w:w="2494" w:type="dxa"/>
            <w:vAlign w:val="center"/>
          </w:tcPr>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≤15dBμV/m </w:t>
            </w:r>
          </w:p>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（30～3000MHz）; </w:t>
            </w:r>
          </w:p>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≤20dBμV/m </w:t>
            </w:r>
          </w:p>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（3～6GHz/8GHz）</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9</w:t>
            </w:r>
          </w:p>
        </w:tc>
        <w:tc>
          <w:tcPr>
            <w:tcW w:w="2269" w:type="dxa"/>
            <w:shd w:val="clear" w:color="auto" w:fill="auto"/>
            <w:vAlign w:val="center"/>
          </w:tcPr>
          <w:p>
            <w:pPr>
              <w:tabs>
                <w:tab w:val="left" w:pos="2800"/>
              </w:tabs>
              <w:jc w:val="both"/>
              <w:rPr>
                <w:rFonts w:hint="eastAsia" w:ascii="仿宋_GB2312" w:hAnsi="等线" w:eastAsia="仿宋_GB2312" w:cs="Times New Roman"/>
                <w:kern w:val="2"/>
                <w:sz w:val="28"/>
                <w:szCs w:val="28"/>
                <w:vertAlign w:val="baseline"/>
                <w:lang w:val="en-US" w:eastAsia="zh-CN" w:bidi="ar-SA"/>
              </w:rPr>
            </w:pPr>
            <w:r>
              <w:rPr>
                <w:rFonts w:hint="eastAsia" w:ascii="仿宋_GB2312" w:hAnsi="等线" w:eastAsia="仿宋_GB2312" w:cs="Times New Roman"/>
                <w:sz w:val="28"/>
                <w:szCs w:val="28"/>
                <w:vertAlign w:val="baseline"/>
                <w:lang w:val="en-US" w:eastAsia="zh-CN"/>
              </w:rPr>
              <w:t>测向精度（测向准确度）</w:t>
            </w:r>
          </w:p>
        </w:tc>
        <w:tc>
          <w:tcPr>
            <w:tcW w:w="2494" w:type="dxa"/>
            <w:vAlign w:val="center"/>
          </w:tcPr>
          <w:p>
            <w:pPr>
              <w:keepNext w:val="0"/>
              <w:keepLines w:val="0"/>
              <w:widowControl/>
              <w:suppressLineNumbers w:val="0"/>
              <w:jc w:val="both"/>
              <w:rPr>
                <w:sz w:val="18"/>
                <w:szCs w:val="18"/>
              </w:rPr>
            </w:pPr>
            <w:r>
              <w:rPr>
                <w:rFonts w:hint="eastAsia" w:ascii="宋体" w:hAnsi="宋体" w:eastAsia="宋体" w:cs="宋体"/>
                <w:color w:val="000000"/>
                <w:kern w:val="0"/>
                <w:sz w:val="18"/>
                <w:szCs w:val="18"/>
                <w:lang w:val="en-US" w:eastAsia="zh-CN" w:bidi="ar"/>
              </w:rPr>
              <w:t xml:space="preserve">≤1°（30～3000MHz ,R.M.S，无反射环境）; </w:t>
            </w:r>
          </w:p>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≤1.5°（3～6GHz/8GHz，R.M.S，无反射环境）</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7" w:type="dxa"/>
            <w:vAlign w:val="center"/>
          </w:tcPr>
          <w:p>
            <w:pPr>
              <w:tabs>
                <w:tab w:val="left" w:pos="2800"/>
              </w:tabs>
              <w:jc w:val="center"/>
              <w:rPr>
                <w:rFonts w:hint="default"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10</w:t>
            </w:r>
          </w:p>
        </w:tc>
        <w:tc>
          <w:tcPr>
            <w:tcW w:w="2269" w:type="dxa"/>
            <w:shd w:val="clear" w:color="auto" w:fill="auto"/>
            <w:vAlign w:val="center"/>
          </w:tcPr>
          <w:p>
            <w:pPr>
              <w:tabs>
                <w:tab w:val="left" w:pos="2800"/>
              </w:tabs>
              <w:jc w:val="both"/>
              <w:rPr>
                <w:rFonts w:hint="eastAsia" w:ascii="仿宋_GB2312" w:hAnsi="等线" w:eastAsia="仿宋_GB2312" w:cs="Times New Roman"/>
                <w:kern w:val="2"/>
                <w:sz w:val="28"/>
                <w:szCs w:val="28"/>
                <w:vertAlign w:val="baseline"/>
                <w:lang w:val="en-US" w:eastAsia="zh-CN" w:bidi="ar-SA"/>
              </w:rPr>
            </w:pPr>
            <w:r>
              <w:rPr>
                <w:rFonts w:hint="eastAsia" w:ascii="仿宋_GB2312" w:hAnsi="等线" w:eastAsia="仿宋_GB2312" w:cs="Times New Roman"/>
                <w:sz w:val="28"/>
                <w:szCs w:val="28"/>
                <w:vertAlign w:val="baseline"/>
                <w:lang w:val="en-US" w:eastAsia="zh-CN"/>
              </w:rPr>
              <w:t>测向最小驻留时间（测向时效）</w:t>
            </w:r>
          </w:p>
        </w:tc>
        <w:tc>
          <w:tcPr>
            <w:tcW w:w="2494" w:type="dxa"/>
            <w:vAlign w:val="center"/>
          </w:tcPr>
          <w:p>
            <w:pPr>
              <w:keepNext w:val="0"/>
              <w:keepLines w:val="0"/>
              <w:widowControl/>
              <w:suppressLineNumbers w:val="0"/>
              <w:jc w:val="both"/>
              <w:rPr>
                <w:rFonts w:hint="eastAsia" w:ascii="仿宋_GB2312" w:hAnsi="等线" w:eastAsia="仿宋_GB2312" w:cs="Times New Roman"/>
                <w:sz w:val="18"/>
                <w:szCs w:val="18"/>
                <w:vertAlign w:val="baseline"/>
                <w:lang w:val="en-US" w:eastAsia="zh-CN"/>
              </w:rPr>
            </w:pPr>
            <w:r>
              <w:rPr>
                <w:rFonts w:hint="eastAsia" w:ascii="宋体" w:hAnsi="宋体" w:eastAsia="宋体" w:cs="宋体"/>
                <w:color w:val="000000"/>
                <w:kern w:val="0"/>
                <w:sz w:val="18"/>
                <w:szCs w:val="18"/>
                <w:lang w:val="en-US" w:eastAsia="zh-CN" w:bidi="ar"/>
              </w:rPr>
              <w:t>≤1ms（单次突发信号）</w:t>
            </w:r>
          </w:p>
        </w:tc>
        <w:tc>
          <w:tcPr>
            <w:tcW w:w="2466" w:type="dxa"/>
            <w:vAlign w:val="center"/>
          </w:tcPr>
          <w:p>
            <w:pPr>
              <w:tabs>
                <w:tab w:val="left" w:pos="2800"/>
              </w:tabs>
              <w:rPr>
                <w:rFonts w:hint="eastAsia" w:ascii="仿宋_GB2312" w:hAnsi="等线" w:eastAsia="仿宋_GB2312" w:cs="Times New Roman"/>
                <w:sz w:val="32"/>
                <w:szCs w:val="32"/>
                <w:vertAlign w:val="baseline"/>
                <w:lang w:val="en-US" w:eastAsia="zh-CN"/>
              </w:rPr>
            </w:pPr>
          </w:p>
        </w:tc>
        <w:tc>
          <w:tcPr>
            <w:tcW w:w="1041" w:type="dxa"/>
            <w:vAlign w:val="center"/>
          </w:tcPr>
          <w:p>
            <w:pPr>
              <w:tabs>
                <w:tab w:val="left" w:pos="2800"/>
              </w:tabs>
              <w:rPr>
                <w:rFonts w:hint="eastAsia" w:ascii="仿宋_GB2312" w:hAnsi="等线" w:eastAsia="仿宋_GB2312" w:cs="Times New Roman"/>
                <w:sz w:val="32"/>
                <w:szCs w:val="32"/>
                <w:vertAlign w:val="baseline"/>
                <w:lang w:val="en-US" w:eastAsia="zh-CN"/>
              </w:rPr>
            </w:pPr>
          </w:p>
        </w:tc>
      </w:tr>
    </w:tbl>
    <w:p>
      <w:pPr>
        <w:tabs>
          <w:tab w:val="left" w:pos="2800"/>
        </w:tabs>
        <w:ind w:firstLine="643" w:firstLineChars="200"/>
        <w:rPr>
          <w:rFonts w:hint="eastAsia"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t>3.具有CMA或CNAS资质的第三方检测机构出具的报告</w:t>
      </w:r>
    </w:p>
    <w:p>
      <w:pPr>
        <w:tabs>
          <w:tab w:val="left" w:pos="2800"/>
        </w:tabs>
        <w:ind w:firstLine="640" w:firstLineChars="200"/>
        <w:rPr>
          <w:rFonts w:hint="default" w:ascii="仿宋_GB2312" w:hAnsi="等线" w:eastAsia="仿宋_GB2312" w:cs="Times New Roman"/>
          <w:b w:val="0"/>
          <w:bCs w:val="0"/>
          <w:sz w:val="32"/>
          <w:szCs w:val="32"/>
          <w:lang w:val="en-US" w:eastAsia="zh-CN"/>
        </w:rPr>
      </w:pPr>
      <w:r>
        <w:rPr>
          <w:rFonts w:hint="default" w:ascii="仿宋_GB2312" w:hAnsi="等线" w:eastAsia="仿宋_GB2312" w:cs="Times New Roman"/>
          <w:b w:val="0"/>
          <w:bCs w:val="0"/>
          <w:sz w:val="32"/>
          <w:szCs w:val="32"/>
          <w:lang w:val="en-US" w:eastAsia="zh-CN"/>
        </w:rPr>
        <w:t>一类固定站</w:t>
      </w:r>
      <w:r>
        <w:rPr>
          <w:rFonts w:hint="eastAsia" w:ascii="仿宋_GB2312" w:hAnsi="等线" w:eastAsia="仿宋_GB2312" w:cs="Times New Roman"/>
          <w:b w:val="0"/>
          <w:bCs w:val="0"/>
          <w:sz w:val="32"/>
          <w:szCs w:val="32"/>
          <w:lang w:val="en-US" w:eastAsia="zh-CN"/>
        </w:rPr>
        <w:t>需提供监测接收机检测报告和监测测向系统报告，四类站需提供监测接收机检测报告。</w:t>
      </w:r>
    </w:p>
    <w:p>
      <w:pPr>
        <w:tabs>
          <w:tab w:val="left" w:pos="2800"/>
        </w:tabs>
        <w:ind w:firstLine="643" w:firstLineChars="200"/>
        <w:rPr>
          <w:rFonts w:hint="default"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t>4.采购内容及要求响应表</w:t>
      </w:r>
    </w:p>
    <w:tbl>
      <w:tblPr>
        <w:tblStyle w:val="5"/>
        <w:tblW w:w="9057"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4239"/>
        <w:gridCol w:w="166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Align w:val="center"/>
          </w:tcPr>
          <w:p>
            <w:pPr>
              <w:tabs>
                <w:tab w:val="left" w:pos="2800"/>
              </w:tabs>
              <w:jc w:val="center"/>
              <w:rPr>
                <w:rFonts w:hint="default" w:ascii="仿宋_GB2312" w:hAnsi="等线" w:eastAsia="仿宋_GB2312" w:cs="Times New Roman"/>
                <w:sz w:val="32"/>
                <w:szCs w:val="32"/>
                <w:vertAlign w:val="baseline"/>
                <w:lang w:val="en-US" w:eastAsia="zh-CN"/>
              </w:rPr>
            </w:pPr>
            <w:r>
              <w:rPr>
                <w:rFonts w:hint="eastAsia" w:ascii="仿宋_GB2312" w:hAnsi="等线" w:eastAsia="仿宋_GB2312" w:cs="Times New Roman"/>
                <w:sz w:val="32"/>
                <w:szCs w:val="32"/>
                <w:vertAlign w:val="baseline"/>
                <w:lang w:val="en-US" w:eastAsia="zh-CN"/>
              </w:rPr>
              <w:t>章节</w:t>
            </w:r>
          </w:p>
        </w:tc>
        <w:tc>
          <w:tcPr>
            <w:tcW w:w="4239" w:type="dxa"/>
            <w:vAlign w:val="center"/>
          </w:tcPr>
          <w:p>
            <w:pPr>
              <w:tabs>
                <w:tab w:val="left" w:pos="2800"/>
              </w:tabs>
              <w:jc w:val="center"/>
              <w:rPr>
                <w:rFonts w:hint="default" w:ascii="仿宋_GB2312" w:hAnsi="等线" w:eastAsia="仿宋_GB2312" w:cs="Times New Roman"/>
                <w:sz w:val="32"/>
                <w:szCs w:val="32"/>
                <w:vertAlign w:val="baseline"/>
                <w:lang w:val="en-US" w:eastAsia="zh-CN"/>
              </w:rPr>
            </w:pPr>
            <w:r>
              <w:rPr>
                <w:rFonts w:hint="eastAsia" w:ascii="仿宋_GB2312" w:hAnsi="等线" w:eastAsia="仿宋_GB2312" w:cs="Times New Roman"/>
                <w:sz w:val="32"/>
                <w:szCs w:val="32"/>
                <w:vertAlign w:val="baseline"/>
                <w:lang w:val="en-US" w:eastAsia="zh-CN"/>
              </w:rPr>
              <w:t>内容及要求</w:t>
            </w:r>
          </w:p>
        </w:tc>
        <w:tc>
          <w:tcPr>
            <w:tcW w:w="1669" w:type="dxa"/>
            <w:vAlign w:val="center"/>
          </w:tcPr>
          <w:p>
            <w:pPr>
              <w:tabs>
                <w:tab w:val="left" w:pos="2800"/>
              </w:tabs>
              <w:jc w:val="center"/>
              <w:rPr>
                <w:rFonts w:hint="default" w:ascii="仿宋_GB2312" w:hAnsi="等线" w:eastAsia="仿宋_GB2312" w:cs="Times New Roman"/>
                <w:sz w:val="32"/>
                <w:szCs w:val="32"/>
                <w:vertAlign w:val="baseline"/>
                <w:lang w:val="en-US" w:eastAsia="zh-CN"/>
              </w:rPr>
            </w:pPr>
            <w:r>
              <w:rPr>
                <w:rFonts w:hint="eastAsia" w:ascii="仿宋_GB2312" w:hAnsi="等线" w:eastAsia="仿宋_GB2312" w:cs="Times New Roman"/>
                <w:sz w:val="32"/>
                <w:szCs w:val="32"/>
                <w:vertAlign w:val="baseline"/>
                <w:lang w:val="en-US" w:eastAsia="zh-CN"/>
              </w:rPr>
              <w:t>响应情况</w:t>
            </w:r>
          </w:p>
        </w:tc>
        <w:tc>
          <w:tcPr>
            <w:tcW w:w="1163" w:type="dxa"/>
            <w:vAlign w:val="center"/>
          </w:tcPr>
          <w:p>
            <w:pPr>
              <w:tabs>
                <w:tab w:val="left" w:pos="2800"/>
              </w:tabs>
              <w:jc w:val="center"/>
              <w:rPr>
                <w:rFonts w:hint="default" w:ascii="仿宋_GB2312" w:hAnsi="等线" w:eastAsia="仿宋_GB2312" w:cs="Times New Roman"/>
                <w:sz w:val="32"/>
                <w:szCs w:val="32"/>
                <w:vertAlign w:val="baseline"/>
                <w:lang w:val="en-US" w:eastAsia="zh-CN"/>
              </w:rPr>
            </w:pPr>
            <w:r>
              <w:rPr>
                <w:rFonts w:hint="eastAsia" w:ascii="仿宋_GB2312" w:hAnsi="等线" w:eastAsia="仿宋_GB2312" w:cs="Times New Roman"/>
                <w:sz w:val="32"/>
                <w:szCs w:val="32"/>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tabs>
                <w:tab w:val="left" w:pos="2800"/>
              </w:tabs>
              <w:jc w:val="center"/>
              <w:rPr>
                <w:rFonts w:hint="eastAsia" w:ascii="仿宋_GB2312" w:hAnsi="等线" w:eastAsia="仿宋_GB2312" w:cs="Times New Roman"/>
                <w:sz w:val="28"/>
                <w:szCs w:val="28"/>
                <w:vertAlign w:val="baseline"/>
                <w:lang w:val="en-US" w:eastAsia="zh-CN"/>
              </w:rPr>
            </w:pPr>
            <w:r>
              <w:rPr>
                <w:rFonts w:hint="eastAsia" w:ascii="黑体" w:hAnsi="黑体" w:eastAsia="黑体" w:cs="宋体"/>
                <w:color w:val="000000"/>
                <w:kern w:val="0"/>
                <w:sz w:val="28"/>
                <w:szCs w:val="28"/>
              </w:rPr>
              <w:t>三、服务内容</w:t>
            </w: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楷体_GB2312" w:hAnsi="楷体_GB2312" w:eastAsia="楷体_GB2312" w:cs="楷体_GB2312"/>
                <w:b/>
                <w:bCs/>
                <w:color w:val="000000"/>
                <w:kern w:val="0"/>
                <w:sz w:val="28"/>
                <w:szCs w:val="28"/>
                <w:lang w:eastAsia="zh-CN"/>
              </w:rPr>
            </w:pPr>
            <w:r>
              <w:rPr>
                <w:rFonts w:hint="eastAsia" w:ascii="楷体_GB2312" w:hAnsi="楷体_GB2312" w:eastAsia="楷体_GB2312" w:cs="楷体_GB2312"/>
                <w:b/>
                <w:bCs/>
                <w:color w:val="000000"/>
                <w:kern w:val="0"/>
                <w:sz w:val="28"/>
                <w:szCs w:val="28"/>
                <w:lang w:eastAsia="zh-CN"/>
              </w:rPr>
              <w:t>（一）软硬件设施要求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eastAsia="仿宋_GB2312" w:cs="DejaVuSans"/>
                <w:color w:val="000000"/>
                <w:kern w:val="0"/>
                <w:sz w:val="28"/>
                <w:szCs w:val="28"/>
                <w:lang w:eastAsia="zh-CN"/>
              </w:rPr>
            </w:pPr>
            <w:r>
              <w:rPr>
                <w:rFonts w:hint="eastAsia" w:ascii="仿宋_GB2312" w:eastAsia="仿宋_GB2312" w:cs="DejaVuSans"/>
                <w:color w:val="000000"/>
                <w:kern w:val="0"/>
                <w:sz w:val="28"/>
                <w:szCs w:val="28"/>
                <w:lang w:eastAsia="zh-CN"/>
              </w:rPr>
              <w:t>根据频谱监测要求，需</w:t>
            </w:r>
            <w:r>
              <w:rPr>
                <w:rFonts w:hint="eastAsia" w:ascii="仿宋_GB2312" w:eastAsia="仿宋_GB2312" w:cs="DejaVuSans"/>
                <w:color w:val="000000"/>
                <w:kern w:val="0"/>
                <w:sz w:val="28"/>
                <w:szCs w:val="28"/>
              </w:rPr>
              <w:t>提供</w:t>
            </w:r>
            <w:r>
              <w:rPr>
                <w:rFonts w:hint="eastAsia" w:ascii="仿宋_GB2312" w:eastAsia="仿宋_GB2312" w:cs="DejaVuSans"/>
                <w:color w:val="000000"/>
                <w:kern w:val="0"/>
                <w:sz w:val="28"/>
                <w:szCs w:val="28"/>
                <w:lang w:eastAsia="zh-CN"/>
              </w:rPr>
              <w:t>无线电监测数据采集所必需的软硬件设施（含必要的配套设施和设备，附软硬件清单），硬件设施（监测测向系统）需满足《省级无线电监测设施建设规范和技术要求（试行）》（国无办函〔2019〕3号）中关于一类（兼容二三类）以及四类固定监测站的性能指标要求。</w:t>
            </w:r>
          </w:p>
          <w:p>
            <w:pPr>
              <w:keepNext w:val="0"/>
              <w:keepLines w:val="0"/>
              <w:pageBreakBefore w:val="0"/>
              <w:widowControl w:val="0"/>
              <w:tabs>
                <w:tab w:val="left" w:pos="2800"/>
              </w:tabs>
              <w:kinsoku/>
              <w:wordWrap/>
              <w:overflowPunct/>
              <w:topLinePunct w:val="0"/>
              <w:bidi w:val="0"/>
              <w:snapToGrid/>
              <w:spacing w:line="480" w:lineRule="exact"/>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DejaVuSans"/>
                <w:color w:val="000000"/>
                <w:kern w:val="0"/>
                <w:sz w:val="28"/>
                <w:szCs w:val="28"/>
                <w:lang w:eastAsia="zh-CN"/>
              </w:rPr>
              <w:t>需提供具有CMA或CNAS资质的第三方检测机构按GB/T32401-2015《VHF/UHF频段无线电监测接收机技术要求及测试方法》和GB/T34089-2017《VHF/UHF无线电监测测向系统开场测试参数和测试方法》出具的测试报告，测试报告中设备型号需与软硬件清单的设备对应。</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（二）监测场景要求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等线" w:eastAsia="仿宋_GB2312" w:cs="Times New Roman"/>
                <w:sz w:val="28"/>
                <w:szCs w:val="28"/>
                <w:vertAlign w:val="baseline"/>
                <w:lang w:val="en-US" w:eastAsia="zh-CN"/>
              </w:rPr>
            </w:pPr>
            <w:r>
              <w:rPr>
                <w:rFonts w:hint="eastAsia" w:ascii="仿宋_GB2312" w:hAnsi="Times New Roman" w:eastAsia="仿宋_GB2312" w:cs="DejaVuSans"/>
                <w:color w:val="000000"/>
                <w:kern w:val="0"/>
                <w:sz w:val="28"/>
                <w:szCs w:val="28"/>
                <w:lang w:val="en-US" w:eastAsia="zh-CN"/>
              </w:rPr>
              <w:t>根据具体监测要求协调并提供适合的监测场地和场景，包括但不限于船载平台、车载平台以及可搬移平台等，做好安装搭建条件评估和准备工作，协调和使用监测场景所需费用（包括但不限于车辆和船只租赁费、场地使用费以及其他服务费等）由服务供应商支付，包含在报价中。</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（三）监测功能要求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Times New Roman" w:eastAsia="仿宋_GB2312" w:cs="DejaVuSans"/>
                <w:b/>
                <w:bCs/>
                <w:color w:val="000000"/>
                <w:kern w:val="0"/>
                <w:sz w:val="28"/>
                <w:szCs w:val="28"/>
                <w:lang w:val="en-US" w:eastAsia="zh-CN"/>
              </w:rPr>
            </w:pPr>
            <w:r>
              <w:rPr>
                <w:rFonts w:hint="eastAsia" w:ascii="仿宋_GB2312" w:hAnsi="Times New Roman" w:eastAsia="仿宋_GB2312" w:cs="DejaVuSans"/>
                <w:b/>
                <w:bCs/>
                <w:color w:val="000000"/>
                <w:kern w:val="0"/>
                <w:sz w:val="28"/>
                <w:szCs w:val="28"/>
                <w:lang w:val="en-US" w:eastAsia="zh-CN"/>
              </w:rPr>
              <w:t>1.基本功能。</w:t>
            </w:r>
            <w:r>
              <w:rPr>
                <w:rFonts w:hint="eastAsia" w:ascii="仿宋_GB2312" w:eastAsia="仿宋_GB2312" w:cs="DejaVuSans"/>
                <w:color w:val="auto"/>
                <w:kern w:val="0"/>
                <w:sz w:val="28"/>
                <w:szCs w:val="28"/>
              </w:rPr>
              <w:t>监测频率范围</w:t>
            </w:r>
            <w:r>
              <w:rPr>
                <w:rFonts w:hint="eastAsia" w:ascii="仿宋_GB2312" w:eastAsia="仿宋_GB2312" w:cs="DejaVuSans"/>
                <w:color w:val="auto"/>
                <w:kern w:val="0"/>
                <w:sz w:val="28"/>
                <w:szCs w:val="28"/>
                <w:lang w:eastAsia="zh-CN"/>
              </w:rPr>
              <w:t>一类固定站（兼容二三类）至少满足</w:t>
            </w:r>
            <w:r>
              <w:rPr>
                <w:rFonts w:hint="eastAsia" w:ascii="仿宋_GB2312" w:eastAsia="仿宋_GB2312" w:cs="DejaVuSans"/>
                <w:color w:val="auto"/>
                <w:kern w:val="0"/>
                <w:sz w:val="28"/>
                <w:szCs w:val="28"/>
              </w:rPr>
              <w:t>20MHz-</w:t>
            </w:r>
            <w:r>
              <w:rPr>
                <w:rFonts w:hint="eastAsia" w:ascii="仿宋_GB2312" w:eastAsia="仿宋_GB2312" w:cs="DejaVuSans"/>
                <w:color w:val="auto"/>
                <w:kern w:val="0"/>
                <w:sz w:val="28"/>
                <w:szCs w:val="28"/>
                <w:lang w:val="en-US" w:eastAsia="zh-CN"/>
              </w:rPr>
              <w:t>18</w:t>
            </w:r>
            <w:r>
              <w:rPr>
                <w:rFonts w:hint="eastAsia" w:ascii="仿宋_GB2312" w:eastAsia="仿宋_GB2312" w:cs="DejaVuSans"/>
                <w:color w:val="auto"/>
                <w:kern w:val="0"/>
                <w:sz w:val="28"/>
                <w:szCs w:val="28"/>
              </w:rPr>
              <w:t>GHz</w:t>
            </w:r>
            <w:r>
              <w:rPr>
                <w:rFonts w:hint="eastAsia" w:ascii="仿宋_GB2312" w:eastAsia="仿宋_GB2312" w:cs="DejaVuSans"/>
                <w:color w:val="auto"/>
                <w:kern w:val="0"/>
                <w:sz w:val="28"/>
                <w:szCs w:val="28"/>
                <w:lang w:eastAsia="zh-CN"/>
              </w:rPr>
              <w:t>，四类固定站至少满足</w:t>
            </w:r>
            <w:r>
              <w:rPr>
                <w:rFonts w:hint="eastAsia" w:ascii="仿宋_GB2312" w:eastAsia="仿宋_GB2312" w:cs="DejaVuSans"/>
                <w:color w:val="auto"/>
                <w:kern w:val="0"/>
                <w:sz w:val="28"/>
                <w:szCs w:val="28"/>
              </w:rPr>
              <w:t>20MHz-</w:t>
            </w:r>
            <w:r>
              <w:rPr>
                <w:rFonts w:hint="eastAsia" w:ascii="仿宋_GB2312" w:eastAsia="仿宋_GB2312" w:cs="DejaVuSans"/>
                <w:color w:val="auto"/>
                <w:kern w:val="0"/>
                <w:sz w:val="28"/>
                <w:szCs w:val="28"/>
                <w:lang w:val="en-US" w:eastAsia="zh-CN"/>
              </w:rPr>
              <w:t>8</w:t>
            </w:r>
            <w:r>
              <w:rPr>
                <w:rFonts w:hint="eastAsia" w:ascii="仿宋_GB2312" w:eastAsia="仿宋_GB2312" w:cs="DejaVuSans"/>
                <w:color w:val="auto"/>
                <w:kern w:val="0"/>
                <w:sz w:val="28"/>
                <w:szCs w:val="28"/>
              </w:rPr>
              <w:t>GHz</w:t>
            </w:r>
            <w:r>
              <w:rPr>
                <w:rFonts w:hint="eastAsia" w:ascii="仿宋_GB2312" w:eastAsia="仿宋_GB2312" w:cs="DejaVuSans"/>
                <w:color w:val="auto"/>
                <w:kern w:val="0"/>
                <w:sz w:val="28"/>
                <w:szCs w:val="28"/>
                <w:lang w:eastAsia="zh-CN"/>
              </w:rPr>
              <w:t>，具有</w:t>
            </w:r>
            <w:r>
              <w:rPr>
                <w:rFonts w:hint="eastAsia" w:ascii="仿宋_GB2312" w:eastAsia="仿宋_GB2312" w:cs="DejaVuSans"/>
                <w:color w:val="auto"/>
                <w:kern w:val="0"/>
                <w:sz w:val="28"/>
                <w:szCs w:val="28"/>
              </w:rPr>
              <w:t>记录</w:t>
            </w:r>
            <w:r>
              <w:rPr>
                <w:rFonts w:hint="eastAsia" w:ascii="仿宋_GB2312" w:eastAsia="仿宋_GB2312" w:cs="DejaVuSans"/>
                <w:color w:val="auto"/>
                <w:kern w:val="0"/>
                <w:sz w:val="28"/>
                <w:szCs w:val="28"/>
                <w:lang w:eastAsia="zh-CN"/>
              </w:rPr>
              <w:t>和回放</w:t>
            </w:r>
            <w:r>
              <w:rPr>
                <w:rFonts w:hint="eastAsia" w:ascii="仿宋_GB2312" w:eastAsia="仿宋_GB2312" w:cs="DejaVuSans"/>
                <w:color w:val="auto"/>
                <w:kern w:val="0"/>
                <w:sz w:val="28"/>
                <w:szCs w:val="28"/>
              </w:rPr>
              <w:t>全频段频谱数据</w:t>
            </w:r>
            <w:r>
              <w:rPr>
                <w:rFonts w:hint="eastAsia" w:ascii="仿宋_GB2312" w:eastAsia="仿宋_GB2312" w:cs="DejaVuSans"/>
                <w:color w:val="auto"/>
                <w:kern w:val="0"/>
                <w:sz w:val="28"/>
                <w:szCs w:val="28"/>
                <w:lang w:eastAsia="zh-CN"/>
              </w:rPr>
              <w:t>和</w:t>
            </w:r>
            <w:r>
              <w:rPr>
                <w:rFonts w:hint="eastAsia" w:ascii="仿宋_GB2312" w:eastAsia="仿宋_GB2312" w:cs="DejaVuSans"/>
                <w:color w:val="auto"/>
                <w:kern w:val="0"/>
                <w:sz w:val="28"/>
                <w:szCs w:val="28"/>
              </w:rPr>
              <w:t>IQ数据</w:t>
            </w:r>
            <w:r>
              <w:rPr>
                <w:rFonts w:hint="eastAsia" w:ascii="仿宋_GB2312" w:eastAsia="仿宋_GB2312" w:cs="DejaVuSans"/>
                <w:color w:val="auto"/>
                <w:kern w:val="0"/>
                <w:sz w:val="28"/>
                <w:szCs w:val="28"/>
                <w:lang w:eastAsia="zh-CN"/>
              </w:rPr>
              <w:t>的能力，</w:t>
            </w:r>
            <w:r>
              <w:rPr>
                <w:rFonts w:hint="eastAsia" w:ascii="仿宋_GB2312" w:eastAsia="仿宋_GB2312" w:cs="DejaVuSans"/>
                <w:color w:val="auto"/>
                <w:kern w:val="0"/>
                <w:sz w:val="28"/>
                <w:szCs w:val="28"/>
              </w:rPr>
              <w:t>支持监测位置信息获取。</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Times New Roman" w:eastAsia="仿宋_GB2312" w:cs="DejaVuSans"/>
                <w:color w:val="000000"/>
                <w:kern w:val="0"/>
                <w:sz w:val="28"/>
                <w:szCs w:val="28"/>
                <w:lang w:val="en-US" w:eastAsia="zh-CN"/>
              </w:rPr>
            </w:pPr>
            <w:r>
              <w:rPr>
                <w:rFonts w:hint="eastAsia" w:ascii="仿宋_GB2312" w:hAnsi="Times New Roman" w:eastAsia="仿宋_GB2312" w:cs="DejaVuSans"/>
                <w:b/>
                <w:bCs/>
                <w:color w:val="000000"/>
                <w:kern w:val="0"/>
                <w:sz w:val="28"/>
                <w:szCs w:val="28"/>
                <w:lang w:val="en-US" w:eastAsia="zh-CN"/>
              </w:rPr>
              <w:t>2.实现离线数据提取及统计处理。</w:t>
            </w:r>
            <w:r>
              <w:rPr>
                <w:rFonts w:hint="eastAsia" w:ascii="仿宋_GB2312" w:hAnsi="Times New Roman" w:eastAsia="仿宋_GB2312" w:cs="DejaVuSans"/>
                <w:color w:val="000000"/>
                <w:kern w:val="0"/>
                <w:sz w:val="28"/>
                <w:szCs w:val="28"/>
                <w:lang w:val="en-US" w:eastAsia="zh-CN"/>
              </w:rPr>
              <w:t>离线频谱数据可抽取且与位置关联，抽取结果如频点、带宽、电平、抽取次数等数据，可分别用于时间分辨率可设的占用度统计。处理数据主要为频谱数据，数据处理的时间颗粒度可控。</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Times New Roman" w:eastAsia="仿宋_GB2312" w:cs="DejaVuSans"/>
                <w:color w:val="000000"/>
                <w:kern w:val="0"/>
                <w:sz w:val="28"/>
                <w:szCs w:val="28"/>
                <w:lang w:val="en-US" w:eastAsia="zh-CN"/>
              </w:rPr>
            </w:pPr>
            <w:r>
              <w:rPr>
                <w:rFonts w:hint="eastAsia" w:ascii="仿宋_GB2312" w:hAnsi="Times New Roman" w:eastAsia="仿宋_GB2312" w:cs="DejaVuSans"/>
                <w:b/>
                <w:bCs/>
                <w:color w:val="000000"/>
                <w:kern w:val="0"/>
                <w:sz w:val="28"/>
                <w:szCs w:val="28"/>
                <w:lang w:val="en-US" w:eastAsia="zh-CN"/>
              </w:rPr>
              <w:t>3.实现离线数据比对。</w:t>
            </w:r>
            <w:r>
              <w:rPr>
                <w:rFonts w:hint="eastAsia" w:ascii="仿宋_GB2312" w:hAnsi="Times New Roman" w:eastAsia="仿宋_GB2312" w:cs="DejaVuSans"/>
                <w:color w:val="000000"/>
                <w:kern w:val="0"/>
                <w:sz w:val="28"/>
                <w:szCs w:val="28"/>
              </w:rPr>
              <w:t>将频谱数据按指定时间精度进行合并，可在地图轨迹中选择多个位置进行数据对比。</w:t>
            </w:r>
            <w:r>
              <w:rPr>
                <w:rFonts w:hint="eastAsia" w:ascii="仿宋_GB2312" w:hAnsi="Times New Roman" w:eastAsia="仿宋_GB2312" w:cs="DejaVuSans"/>
                <w:color w:val="000000"/>
                <w:kern w:val="0"/>
                <w:sz w:val="28"/>
                <w:szCs w:val="28"/>
                <w:lang w:val="en-US" w:eastAsia="zh-CN"/>
              </w:rPr>
              <w:t>比对数据主要为频谱数据，数据处理的时间或位置颗粒度可控。部分采集的IQ数据可分析信号的参数特征，并对信号的用途制式进行基本判别。</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eastAsia" w:ascii="仿宋_GB2312" w:hAnsi="等线" w:eastAsia="仿宋_GB2312" w:cs="Times New Roman"/>
                <w:sz w:val="28"/>
                <w:szCs w:val="28"/>
                <w:vertAlign w:val="baseline"/>
                <w:lang w:val="en-US" w:eastAsia="zh-CN"/>
              </w:rPr>
            </w:pPr>
            <w:r>
              <w:rPr>
                <w:rFonts w:hint="eastAsia" w:ascii="仿宋_GB2312" w:hAnsi="Times New Roman" w:eastAsia="仿宋_GB2312" w:cs="DejaVuSans"/>
                <w:b/>
                <w:bCs/>
                <w:color w:val="000000"/>
                <w:kern w:val="0"/>
                <w:sz w:val="28"/>
                <w:szCs w:val="28"/>
                <w:lang w:val="en-US" w:eastAsia="zh-CN"/>
              </w:rPr>
              <w:t>4.实现离线数据统计及比对结果可视化呈现。</w:t>
            </w:r>
            <w:r>
              <w:rPr>
                <w:rFonts w:hint="eastAsia" w:ascii="仿宋_GB2312" w:hAnsi="Times New Roman" w:eastAsia="仿宋_GB2312" w:cs="DejaVuSans"/>
                <w:color w:val="000000"/>
                <w:kern w:val="0"/>
                <w:sz w:val="28"/>
                <w:szCs w:val="28"/>
                <w:lang w:val="en-US" w:eastAsia="zh-CN"/>
              </w:rPr>
              <w:t>存储的频谱可用于回放或使用频谱数据提取软件进行离线分析，其中的重点关注频段及相关信号的频谱、IQ参数等特征可定制化添加展示。频谱及IQ回放的同时，需要可视化展示地理信息的相关变化。支持按频段、业务对重点关注信号进行组合筛选查询。</w:t>
            </w:r>
            <w:r>
              <w:rPr>
                <w:rFonts w:hint="eastAsia" w:ascii="仿宋_GB2312" w:hAnsi="Times New Roman" w:eastAsia="仿宋_GB2312" w:cs="DejaVuSans"/>
                <w:color w:val="000000"/>
                <w:kern w:val="0"/>
                <w:sz w:val="28"/>
                <w:szCs w:val="28"/>
              </w:rPr>
              <w:tab/>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default"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（四）研究成果</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Times New Roman" w:eastAsia="仿宋_GB2312" w:cs="DejaVuSans"/>
                <w:color w:val="000000"/>
                <w:kern w:val="0"/>
                <w:sz w:val="28"/>
                <w:szCs w:val="28"/>
                <w:lang w:val="en-US" w:eastAsia="zh-CN"/>
              </w:rPr>
            </w:pPr>
            <w:r>
              <w:rPr>
                <w:rFonts w:hint="eastAsia" w:ascii="仿宋_GB2312" w:hAnsi="Times New Roman" w:eastAsia="仿宋_GB2312" w:cs="DejaVuSans"/>
                <w:color w:val="000000"/>
                <w:kern w:val="0"/>
                <w:sz w:val="28"/>
                <w:szCs w:val="28"/>
                <w:lang w:val="en-US" w:eastAsia="zh-CN"/>
              </w:rPr>
              <w:t>1.厦门海域电磁频谱监测研究报告1份，报告内容包括但不限于研究背景、实施情况、数据统计和分析、存在问题以及对搭建海域无线电监测系统提出意见和建议等。</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default" w:ascii="仿宋_GB2312" w:hAnsi="Times New Roman" w:eastAsia="仿宋_GB2312" w:cs="DejaVuSans"/>
                <w:color w:val="000000"/>
                <w:kern w:val="0"/>
                <w:sz w:val="28"/>
                <w:szCs w:val="28"/>
                <w:lang w:val="en-US" w:eastAsia="zh-CN"/>
              </w:rPr>
            </w:pPr>
            <w:r>
              <w:rPr>
                <w:rFonts w:hint="eastAsia" w:ascii="仿宋_GB2312" w:hAnsi="Times New Roman" w:eastAsia="仿宋_GB2312" w:cs="DejaVuSans"/>
                <w:color w:val="000000"/>
                <w:kern w:val="0"/>
                <w:sz w:val="28"/>
                <w:szCs w:val="28"/>
                <w:lang w:val="en-US" w:eastAsia="zh-CN"/>
              </w:rPr>
              <w:t>2.相关采集原始数据。</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仿宋_GB2312" w:hAnsi="等线" w:eastAsia="仿宋_GB2312" w:cs="Times New Roman"/>
                <w:sz w:val="28"/>
                <w:szCs w:val="28"/>
                <w:vertAlign w:val="baseline"/>
                <w:lang w:val="en-US" w:eastAsia="zh-CN"/>
              </w:rPr>
            </w:pPr>
            <w:r>
              <w:rPr>
                <w:rFonts w:hint="eastAsia" w:ascii="仿宋_GB2312" w:hAnsi="Times New Roman" w:eastAsia="仿宋_GB2312" w:cs="DejaVuSans"/>
                <w:color w:val="000000"/>
                <w:kern w:val="0"/>
                <w:sz w:val="28"/>
                <w:szCs w:val="28"/>
                <w:lang w:val="en-US" w:eastAsia="zh-CN"/>
              </w:rPr>
              <w:t>3.能够实现频谱、IQ回放、频谱抽取及数据分析等功能的可视化呈现演示软件1套，展示课题研究成果。</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黑体" w:hAnsi="黑体" w:eastAsia="黑体" w:cs="宋体"/>
                <w:color w:val="000000"/>
                <w:kern w:val="0"/>
                <w:sz w:val="28"/>
                <w:szCs w:val="28"/>
              </w:rPr>
            </w:pPr>
            <w:r>
              <w:rPr>
                <w:rFonts w:hint="eastAsia" w:ascii="黑体" w:hAnsi="黑体" w:eastAsia="黑体" w:cs="宋体"/>
                <w:color w:val="000000"/>
                <w:kern w:val="0"/>
                <w:sz w:val="28"/>
                <w:szCs w:val="28"/>
              </w:rPr>
              <w:t>四、服务要求</w:t>
            </w:r>
          </w:p>
          <w:p>
            <w:pPr>
              <w:tabs>
                <w:tab w:val="left" w:pos="2800"/>
              </w:tabs>
              <w:jc w:val="center"/>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left="-2" w:leftChars="-1" w:firstLine="616" w:firstLineChars="220"/>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DejaVuSans"/>
                <w:color w:val="000000"/>
                <w:kern w:val="0"/>
                <w:sz w:val="28"/>
                <w:szCs w:val="28"/>
              </w:rPr>
              <w:t>1.服务时间：合同签订日起至2025年11月30日。</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left="-2" w:leftChars="-1" w:firstLine="616" w:firstLineChars="220"/>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宋体"/>
                <w:color w:val="000000"/>
                <w:kern w:val="0"/>
                <w:sz w:val="28"/>
                <w:szCs w:val="28"/>
              </w:rPr>
              <w:t>2.服务供应商熟悉无线电频谱监测有关业务，能够针对本项目组建专门的研究团队，具备相关技术能力</w:t>
            </w:r>
            <w:r>
              <w:rPr>
                <w:rFonts w:hint="eastAsia" w:ascii="仿宋_GB2312" w:eastAsia="仿宋_GB2312" w:cs="宋体"/>
                <w:color w:val="000000"/>
                <w:kern w:val="0"/>
                <w:sz w:val="28"/>
                <w:szCs w:val="28"/>
                <w:lang w:eastAsia="zh-CN"/>
              </w:rPr>
              <w:t>。</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left="-2" w:leftChars="-1" w:firstLine="616" w:firstLineChars="220"/>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宋体"/>
                <w:color w:val="000000"/>
                <w:kern w:val="0"/>
                <w:sz w:val="28"/>
                <w:szCs w:val="28"/>
              </w:rPr>
              <w:t>3.服务供应商在实施过程中，</w:t>
            </w:r>
            <w:r>
              <w:rPr>
                <w:rFonts w:hint="eastAsia" w:ascii="仿宋_GB2312" w:eastAsia="仿宋_GB2312" w:cs="宋体"/>
                <w:color w:val="000000"/>
                <w:kern w:val="0"/>
                <w:sz w:val="28"/>
                <w:szCs w:val="28"/>
                <w:lang w:eastAsia="zh-CN"/>
              </w:rPr>
              <w:t>应做好安全管理工作，确保研究安全（包括但不限于自身人员安全以及设备安全等），采购人不对服务供应商安全负责。服务供应商</w:t>
            </w:r>
            <w:r>
              <w:rPr>
                <w:rFonts w:hint="eastAsia" w:ascii="仿宋_GB2312" w:eastAsia="仿宋_GB2312" w:cs="宋体"/>
                <w:color w:val="000000"/>
                <w:kern w:val="0"/>
                <w:sz w:val="28"/>
                <w:szCs w:val="28"/>
              </w:rPr>
              <w:t>应</w:t>
            </w:r>
            <w:r>
              <w:rPr>
                <w:rFonts w:hint="eastAsia" w:ascii="仿宋_GB2312" w:eastAsia="仿宋_GB2312" w:cs="宋体"/>
                <w:color w:val="000000"/>
                <w:kern w:val="0"/>
                <w:sz w:val="28"/>
                <w:szCs w:val="28"/>
                <w:lang w:eastAsia="zh-CN"/>
              </w:rPr>
              <w:t>加强</w:t>
            </w:r>
            <w:r>
              <w:rPr>
                <w:rFonts w:hint="eastAsia" w:ascii="仿宋_GB2312" w:eastAsia="仿宋_GB2312" w:cs="宋体"/>
                <w:color w:val="000000"/>
                <w:kern w:val="0"/>
                <w:sz w:val="28"/>
                <w:szCs w:val="28"/>
              </w:rPr>
              <w:t>与采购人联系沟通及汇报工作，发现问题及时上报。</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tabs>
                <w:tab w:val="left" w:pos="2800"/>
              </w:tabs>
              <w:kinsoku/>
              <w:wordWrap/>
              <w:overflowPunct/>
              <w:topLinePunct w:val="0"/>
              <w:bidi w:val="0"/>
              <w:snapToGrid/>
              <w:spacing w:line="480" w:lineRule="exact"/>
              <w:ind w:firstLine="560" w:firstLineChars="200"/>
              <w:textAlignment w:val="auto"/>
              <w:rPr>
                <w:rFonts w:hint="eastAsia" w:ascii="仿宋_GB2312" w:hAnsi="等线" w:eastAsia="仿宋_GB2312" w:cs="Times New Roman"/>
                <w:sz w:val="28"/>
                <w:szCs w:val="28"/>
                <w:vertAlign w:val="baseline"/>
                <w:lang w:val="en-US" w:eastAsia="zh-CN"/>
              </w:rPr>
            </w:pPr>
            <w:r>
              <w:rPr>
                <w:rFonts w:hint="eastAsia" w:ascii="仿宋_GB2312" w:eastAsia="仿宋_GB2312" w:cs="宋体"/>
                <w:color w:val="000000"/>
                <w:kern w:val="0"/>
                <w:sz w:val="28"/>
                <w:szCs w:val="28"/>
                <w:lang w:val="en-US" w:eastAsia="zh-CN"/>
              </w:rPr>
              <w:t>4.服务期间，服务供应商应在采购人要求的监测区域内开展不少于2次的全频段无线电监测和数据采集，采购人将根据监测情况增加监测次数以及组织开展专项监测和数据采集分析。</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left="-2" w:leftChars="-1" w:firstLine="616" w:firstLineChars="220"/>
              <w:textAlignment w:val="auto"/>
              <w:rPr>
                <w:rFonts w:hint="eastAsia"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5.服务期间，协助开展调研和论证等工作，做好服务保障和资料收集，相关费用包含在总报价中。</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tabs>
                <w:tab w:val="left" w:pos="2800"/>
              </w:tabs>
              <w:kinsoku/>
              <w:wordWrap/>
              <w:overflowPunct/>
              <w:topLinePunct w:val="0"/>
              <w:bidi w:val="0"/>
              <w:snapToGrid/>
              <w:spacing w:line="480" w:lineRule="exact"/>
              <w:ind w:firstLine="560" w:firstLineChars="200"/>
              <w:textAlignment w:val="auto"/>
              <w:rPr>
                <w:rFonts w:hint="eastAsia"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6.服务供应商对执行本项目过程中知悉的涉密信息（包括但不限于监测数据和监测内容以及与本服务项目相关的情况等）严加保密，不得将其知悉的秘密和采购人提供的资料对外泄露。</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tabs>
                <w:tab w:val="left" w:pos="2800"/>
              </w:tabs>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_GB2312" w:eastAsia="仿宋_GB2312" w:cs="宋体"/>
                <w:color w:val="000000"/>
                <w:kern w:val="0"/>
                <w:sz w:val="28"/>
                <w:szCs w:val="28"/>
                <w:lang w:val="en-US" w:eastAsia="zh-CN"/>
              </w:rPr>
            </w:pPr>
            <w:r>
              <w:rPr>
                <w:rFonts w:hint="eastAsia" w:ascii="仿宋_GB2312" w:eastAsia="仿宋_GB2312" w:cs="宋体"/>
                <w:color w:val="000000"/>
                <w:kern w:val="0"/>
                <w:sz w:val="28"/>
                <w:szCs w:val="28"/>
                <w:lang w:val="en-US" w:eastAsia="zh-CN"/>
              </w:rPr>
              <w:t>7</w:t>
            </w:r>
            <w:r>
              <w:rPr>
                <w:rFonts w:hint="eastAsia" w:ascii="仿宋_GB2312" w:eastAsia="仿宋_GB2312" w:cs="宋体"/>
                <w:color w:val="000000"/>
                <w:kern w:val="0"/>
                <w:sz w:val="28"/>
                <w:szCs w:val="28"/>
              </w:rPr>
              <w:t>.本研究需</w:t>
            </w:r>
            <w:r>
              <w:rPr>
                <w:rFonts w:hint="eastAsia" w:ascii="仿宋_GB2312" w:eastAsia="仿宋_GB2312"/>
                <w:sz w:val="28"/>
                <w:szCs w:val="28"/>
              </w:rPr>
              <w:t>组织不少于3名专家进行专业评审，所需经费由服务供应商负责，服务供应商按评审意见修改完善并提交研究成果。</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_GB2312" w:eastAsia="仿宋_GB2312"/>
                <w:sz w:val="28"/>
                <w:szCs w:val="28"/>
              </w:rPr>
            </w:pPr>
            <w:r>
              <w:rPr>
                <w:rFonts w:hint="eastAsia" w:ascii="黑体" w:hAnsi="黑体" w:eastAsia="黑体" w:cs="宋体"/>
                <w:kern w:val="0"/>
                <w:sz w:val="28"/>
                <w:szCs w:val="28"/>
              </w:rPr>
              <w:t>五、验收及付款方式</w:t>
            </w:r>
          </w:p>
          <w:p>
            <w:pPr>
              <w:tabs>
                <w:tab w:val="left" w:pos="2800"/>
              </w:tabs>
              <w:jc w:val="center"/>
              <w:rPr>
                <w:rFonts w:hint="eastAsia" w:ascii="仿宋_GB2312" w:hAnsi="等线" w:eastAsia="仿宋_GB2312" w:cs="Times New Roman"/>
                <w:sz w:val="28"/>
                <w:szCs w:val="28"/>
                <w:vertAlign w:val="baseline"/>
                <w:lang w:val="en-US" w:eastAsia="zh-CN"/>
              </w:rPr>
            </w:pPr>
          </w:p>
        </w:tc>
        <w:tc>
          <w:tcPr>
            <w:tcW w:w="4239" w:type="dxa"/>
          </w:tcPr>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_GB2312" w:eastAsia="仿宋_GB2312" w:cs="宋体"/>
                <w:color w:val="000000"/>
                <w:kern w:val="0"/>
                <w:sz w:val="28"/>
                <w:szCs w:val="28"/>
                <w:lang w:val="en-US" w:eastAsia="zh-CN"/>
              </w:rPr>
            </w:pPr>
            <w:r>
              <w:rPr>
                <w:rFonts w:hint="eastAsia" w:ascii="仿宋_GB2312" w:eastAsia="仿宋_GB2312"/>
                <w:sz w:val="28"/>
                <w:szCs w:val="28"/>
                <w:lang w:val="en-US" w:eastAsia="zh-CN"/>
              </w:rPr>
              <w:t>合同签订后，服务供应商开展相关准备工作，完成监测方案制定和监测设施设备准备等工作后，由服务供应商向采购人提出支付申请，经采购人确认，在10个工作日内，支付50%合同款项。</w:t>
            </w:r>
            <w:r>
              <w:rPr>
                <w:rFonts w:hint="eastAsia" w:ascii="仿宋_GB2312" w:eastAsia="仿宋_GB2312"/>
                <w:sz w:val="28"/>
                <w:szCs w:val="28"/>
              </w:rPr>
              <w:t>服务供应商完成全部服务要求并经采购人验</w:t>
            </w:r>
            <w:bookmarkStart w:id="0" w:name="_GoBack"/>
            <w:bookmarkEnd w:id="0"/>
            <w:r>
              <w:rPr>
                <w:rFonts w:hint="eastAsia" w:ascii="仿宋_GB2312" w:eastAsia="仿宋_GB2312"/>
                <w:sz w:val="28"/>
                <w:szCs w:val="28"/>
              </w:rPr>
              <w:t>收合格，在10个工作日内，支付</w:t>
            </w:r>
            <w:r>
              <w:rPr>
                <w:rFonts w:hint="eastAsia" w:ascii="仿宋_GB2312" w:eastAsia="仿宋_GB2312"/>
                <w:sz w:val="28"/>
                <w:szCs w:val="28"/>
                <w:lang w:val="en-US" w:eastAsia="zh-CN"/>
              </w:rPr>
              <w:t>其余5</w:t>
            </w:r>
            <w:r>
              <w:rPr>
                <w:rFonts w:hint="eastAsia" w:ascii="仿宋_GB2312" w:eastAsia="仿宋_GB2312"/>
                <w:sz w:val="28"/>
                <w:szCs w:val="28"/>
              </w:rPr>
              <w:t>0%合同款项。</w:t>
            </w:r>
          </w:p>
        </w:tc>
        <w:tc>
          <w:tcPr>
            <w:tcW w:w="1669" w:type="dxa"/>
          </w:tcPr>
          <w:p>
            <w:pPr>
              <w:tabs>
                <w:tab w:val="left" w:pos="2800"/>
              </w:tabs>
              <w:rPr>
                <w:rFonts w:hint="eastAsia" w:ascii="仿宋_GB2312" w:hAnsi="等线" w:eastAsia="仿宋_GB2312" w:cs="Times New Roman"/>
                <w:sz w:val="32"/>
                <w:szCs w:val="32"/>
                <w:vertAlign w:val="baseline"/>
                <w:lang w:val="en-US" w:eastAsia="zh-CN"/>
              </w:rPr>
            </w:pPr>
          </w:p>
        </w:tc>
        <w:tc>
          <w:tcPr>
            <w:tcW w:w="1163" w:type="dxa"/>
          </w:tcPr>
          <w:p>
            <w:pPr>
              <w:tabs>
                <w:tab w:val="left" w:pos="2800"/>
              </w:tabs>
              <w:rPr>
                <w:rFonts w:hint="eastAsia" w:ascii="仿宋_GB2312" w:hAnsi="等线" w:eastAsia="仿宋_GB2312" w:cs="Times New Roman"/>
                <w:sz w:val="32"/>
                <w:szCs w:val="32"/>
                <w:vertAlign w:val="baseline"/>
                <w:lang w:val="en-US" w:eastAsia="zh-CN"/>
              </w:rPr>
            </w:pPr>
          </w:p>
        </w:tc>
      </w:tr>
    </w:tbl>
    <w:p>
      <w:pPr>
        <w:tabs>
          <w:tab w:val="left" w:pos="2800"/>
        </w:tabs>
        <w:ind w:firstLine="640" w:firstLineChars="200"/>
        <w:rPr>
          <w:rFonts w:hint="eastAsia" w:ascii="仿宋_GB2312" w:hAnsi="等线" w:eastAsia="仿宋_GB2312" w:cs="Times New Roman"/>
          <w:sz w:val="32"/>
          <w:szCs w:val="32"/>
          <w:lang w:val="en-US" w:eastAsia="zh-CN"/>
        </w:rPr>
      </w:pP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 xml:space="preserve">（八）其他证明文件。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E593"/>
    <w:multiLevelType w:val="multilevel"/>
    <w:tmpl w:val="121BE593"/>
    <w:lvl w:ilvl="0" w:tentative="0">
      <w:start w:val="1"/>
      <w:numFmt w:val="chineseCountingThousand"/>
      <w:lvlText w:val="%1、"/>
      <w:lvlJc w:val="left"/>
      <w:pPr>
        <w:tabs>
          <w:tab w:val="left" w:pos="1280"/>
        </w:tabs>
        <w:ind w:left="1280" w:hanging="64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03549"/>
    <w:rsid w:val="59303549"/>
    <w:rsid w:val="7803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2025-04-16T02:45:00Z</dcterms:created>
  <dc:creator>卢建锋3</dc:creator>
  <cp:lastModifiedBy>卢建锋3</cp:lastModifiedBy>
  <dcterms:modified xsi:type="dcterms:W3CDTF">2025-05-06T00:15:00Z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