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jc w:val="center"/>
        <w:rPr>
          <w:rFonts w:hint="eastAsia" w:ascii="方正大标宋简体" w:eastAsia="方正大标宋简体"/>
          <w:sz w:val="44"/>
        </w:rPr>
      </w:pPr>
      <w:r>
        <w:rPr>
          <w:rFonts w:hint="eastAsia" w:ascii="方正大标宋简体" w:eastAsia="方正大标宋简体"/>
          <w:sz w:val="44"/>
          <w:lang w:eastAsia="zh-CN"/>
        </w:rPr>
        <w:t>采购项目</w:t>
      </w:r>
      <w:r>
        <w:rPr>
          <w:rFonts w:hint="eastAsia" w:ascii="方正大标宋简体" w:eastAsia="方正大标宋简体"/>
          <w:sz w:val="44"/>
        </w:rPr>
        <w:t>报价单</w:t>
      </w:r>
    </w:p>
    <w:p>
      <w:pPr>
        <w:rPr>
          <w:rFonts w:hint="eastAsia" w:ascii="仿宋_GB2312" w:eastAsia="仿宋_GB2312"/>
          <w:sz w:val="32"/>
          <w:szCs w:val="32"/>
        </w:rPr>
      </w:pPr>
    </w:p>
    <w:p>
      <w:pPr>
        <w:rPr>
          <w:rFonts w:hint="eastAsia" w:ascii="方正小标宋简体" w:eastAsia="方正小标宋简体"/>
          <w:sz w:val="44"/>
        </w:rPr>
      </w:pPr>
      <w:r>
        <w:rPr>
          <w:rFonts w:hint="eastAsia" w:ascii="仿宋_GB2312" w:eastAsia="仿宋_GB2312"/>
          <w:sz w:val="32"/>
          <w:szCs w:val="32"/>
        </w:rPr>
        <w:t>厦门市无线电管理局：</w:t>
      </w:r>
    </w:p>
    <w:p>
      <w:pPr>
        <w:tabs>
          <w:tab w:val="left" w:pos="2800"/>
        </w:tabs>
        <w:ind w:firstLine="640" w:firstLineChars="200"/>
        <w:rPr>
          <w:rFonts w:hint="eastAsia" w:ascii="仿宋_GB2312" w:eastAsia="仿宋_GB2312"/>
          <w:sz w:val="32"/>
          <w:szCs w:val="32"/>
        </w:rPr>
      </w:pPr>
      <w:r>
        <w:rPr>
          <w:rFonts w:hint="eastAsia" w:ascii="仿宋_GB2312" w:eastAsia="仿宋_GB2312"/>
          <w:sz w:val="32"/>
          <w:szCs w:val="32"/>
        </w:rPr>
        <w:t>关于本次询价的厦门无线电管理指挥控制中心会议设备升级改造</w:t>
      </w:r>
      <w:r>
        <w:rPr>
          <w:rFonts w:hint="eastAsia" w:ascii="仿宋_GB2312" w:eastAsia="仿宋_GB2312"/>
          <w:sz w:val="32"/>
          <w:szCs w:val="32"/>
          <w:lang w:eastAsia="zh-CN"/>
        </w:rPr>
        <w:t>项目</w:t>
      </w:r>
      <w:r>
        <w:rPr>
          <w:rFonts w:hint="eastAsia" w:ascii="仿宋_GB2312" w:eastAsia="仿宋_GB2312"/>
          <w:sz w:val="32"/>
          <w:szCs w:val="32"/>
        </w:rPr>
        <w:t>，我单位已详细阅读了贵局发布的最高限价询价内容，完全理解项目要求，决定参加报价。</w:t>
      </w:r>
    </w:p>
    <w:p>
      <w:pPr>
        <w:numPr>
          <w:ilvl w:val="0"/>
          <w:numId w:val="1"/>
        </w:numPr>
        <w:tabs>
          <w:tab w:val="left" w:pos="2800"/>
        </w:tabs>
        <w:rPr>
          <w:rFonts w:hint="eastAsia" w:ascii="黑体" w:eastAsia="黑体"/>
          <w:sz w:val="32"/>
          <w:szCs w:val="32"/>
        </w:rPr>
      </w:pPr>
      <w:r>
        <w:rPr>
          <w:rFonts w:hint="eastAsia" w:ascii="黑体" w:eastAsia="黑体"/>
          <w:sz w:val="32"/>
          <w:szCs w:val="32"/>
        </w:rPr>
        <w:t>报价表</w:t>
      </w:r>
    </w:p>
    <w:tbl>
      <w:tblPr>
        <w:tblStyle w:val="4"/>
        <w:tblpPr w:leftFromText="180" w:rightFromText="180" w:vertAnchor="text" w:horzAnchor="page" w:tblpX="2094" w:tblpY="31"/>
        <w:tblOverlap w:val="never"/>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4"/>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4" w:type="dxa"/>
            <w:noWrap w:val="0"/>
            <w:vAlign w:val="center"/>
          </w:tcPr>
          <w:p>
            <w:pPr>
              <w:tabs>
                <w:tab w:val="left" w:pos="2800"/>
              </w:tabs>
              <w:spacing w:line="400" w:lineRule="exact"/>
              <w:jc w:val="center"/>
              <w:rPr>
                <w:rFonts w:hint="eastAsia" w:ascii="黑体" w:hAnsi="黑体" w:eastAsia="黑体"/>
                <w:sz w:val="32"/>
                <w:szCs w:val="32"/>
              </w:rPr>
            </w:pPr>
            <w:r>
              <w:rPr>
                <w:rFonts w:hint="eastAsia" w:ascii="黑体" w:hAnsi="黑体" w:eastAsia="黑体"/>
                <w:sz w:val="32"/>
                <w:szCs w:val="32"/>
              </w:rPr>
              <w:t>项目名称</w:t>
            </w:r>
          </w:p>
        </w:tc>
        <w:tc>
          <w:tcPr>
            <w:tcW w:w="1784" w:type="dxa"/>
            <w:noWrap w:val="0"/>
            <w:vAlign w:val="center"/>
          </w:tcPr>
          <w:p>
            <w:pPr>
              <w:tabs>
                <w:tab w:val="left" w:pos="2800"/>
              </w:tabs>
              <w:spacing w:line="400" w:lineRule="exact"/>
              <w:jc w:val="center"/>
              <w:rPr>
                <w:rFonts w:hint="eastAsia" w:ascii="黑体" w:hAnsi="黑体" w:eastAsia="黑体"/>
                <w:sz w:val="32"/>
                <w:szCs w:val="32"/>
              </w:rPr>
            </w:pPr>
            <w:r>
              <w:rPr>
                <w:rFonts w:hint="eastAsia" w:ascii="黑体" w:hAnsi="黑体" w:eastAsia="黑体"/>
                <w:sz w:val="32"/>
                <w:szCs w:val="32"/>
              </w:rPr>
              <w:t>总价</w:t>
            </w:r>
          </w:p>
          <w:p>
            <w:pPr>
              <w:tabs>
                <w:tab w:val="left" w:pos="2800"/>
              </w:tabs>
              <w:spacing w:line="400" w:lineRule="exact"/>
              <w:jc w:val="center"/>
              <w:rPr>
                <w:rFonts w:hint="eastAsia" w:ascii="黑体" w:hAnsi="黑体" w:eastAsia="黑体"/>
                <w:sz w:val="32"/>
                <w:szCs w:val="32"/>
              </w:rPr>
            </w:pPr>
            <w:r>
              <w:rPr>
                <w:rFonts w:hint="eastAsia" w:ascii="黑体" w:hAnsi="黑体" w:eastAsia="黑体"/>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6474" w:type="dxa"/>
            <w:noWrap w:val="0"/>
            <w:vAlign w:val="center"/>
          </w:tcPr>
          <w:p>
            <w:pPr>
              <w:tabs>
                <w:tab w:val="left" w:pos="2800"/>
              </w:tabs>
              <w:jc w:val="left"/>
              <w:rPr>
                <w:rFonts w:hint="eastAsia" w:ascii="仿宋_GB2312" w:eastAsia="仿宋_GB2312"/>
                <w:color w:val="FF0000"/>
                <w:sz w:val="32"/>
                <w:szCs w:val="32"/>
              </w:rPr>
            </w:pPr>
            <w:r>
              <w:rPr>
                <w:rFonts w:hint="eastAsia" w:ascii="仿宋_GB2312" w:eastAsia="仿宋_GB2312"/>
                <w:sz w:val="32"/>
                <w:szCs w:val="32"/>
              </w:rPr>
              <w:t>厦门无线电管理指挥控制中心会议设备升级改造</w:t>
            </w:r>
          </w:p>
        </w:tc>
        <w:tc>
          <w:tcPr>
            <w:tcW w:w="1784" w:type="dxa"/>
            <w:noWrap w:val="0"/>
            <w:vAlign w:val="center"/>
          </w:tcPr>
          <w:p>
            <w:pPr>
              <w:tabs>
                <w:tab w:val="left" w:pos="2800"/>
              </w:tabs>
              <w:jc w:val="center"/>
              <w:rPr>
                <w:rFonts w:hint="eastAsia" w:ascii="仿宋_GB2312" w:eastAsia="仿宋_GB2312"/>
                <w:sz w:val="32"/>
                <w:szCs w:val="32"/>
              </w:rPr>
            </w:pPr>
          </w:p>
        </w:tc>
      </w:tr>
    </w:tbl>
    <w:p>
      <w:pPr>
        <w:numPr>
          <w:ilvl w:val="0"/>
          <w:numId w:val="1"/>
        </w:numPr>
        <w:tabs>
          <w:tab w:val="left" w:pos="2800"/>
        </w:tabs>
        <w:rPr>
          <w:rFonts w:hint="eastAsia" w:ascii="黑体" w:eastAsia="黑体"/>
          <w:sz w:val="32"/>
          <w:szCs w:val="32"/>
        </w:rPr>
      </w:pPr>
      <w:r>
        <w:rPr>
          <w:rFonts w:hint="eastAsia" w:ascii="黑体" w:eastAsia="黑体"/>
          <w:sz w:val="32"/>
          <w:szCs w:val="32"/>
          <w:lang w:eastAsia="zh-CN"/>
        </w:rPr>
        <w:t>佐证材料</w:t>
      </w:r>
    </w:p>
    <w:p>
      <w:pPr>
        <w:tabs>
          <w:tab w:val="left" w:pos="2800"/>
        </w:tabs>
        <w:ind w:left="640"/>
        <w:rPr>
          <w:rFonts w:hint="eastAsia" w:ascii="仿宋_GB2312" w:hAnsi="等线" w:eastAsia="仿宋_GB2312" w:cs="Times New Roman"/>
          <w:sz w:val="32"/>
          <w:szCs w:val="32"/>
        </w:rPr>
      </w:pPr>
      <w:r>
        <w:rPr>
          <w:rFonts w:hint="eastAsia" w:ascii="仿宋_GB2312" w:hAnsi="等线" w:eastAsia="仿宋_GB2312" w:cs="Times New Roman"/>
          <w:sz w:val="32"/>
          <w:szCs w:val="32"/>
          <w:lang w:eastAsia="zh-CN"/>
        </w:rPr>
        <w:t>见附件《证明材料提交清单》</w:t>
      </w:r>
    </w:p>
    <w:p>
      <w:pPr>
        <w:numPr>
          <w:ilvl w:val="0"/>
          <w:numId w:val="1"/>
        </w:numPr>
        <w:tabs>
          <w:tab w:val="left" w:pos="2800"/>
        </w:tabs>
        <w:rPr>
          <w:rFonts w:hint="eastAsia" w:ascii="黑体" w:eastAsia="黑体"/>
          <w:sz w:val="32"/>
          <w:szCs w:val="32"/>
        </w:rPr>
      </w:pPr>
      <w:r>
        <w:rPr>
          <w:rFonts w:hint="eastAsia" w:ascii="黑体" w:eastAsia="黑体"/>
          <w:sz w:val="32"/>
          <w:szCs w:val="32"/>
        </w:rPr>
        <w:t>联系方式</w:t>
      </w:r>
    </w:p>
    <w:p>
      <w:pPr>
        <w:tabs>
          <w:tab w:val="left" w:pos="2800"/>
        </w:tabs>
        <w:ind w:left="640"/>
        <w:rPr>
          <w:rFonts w:hint="eastAsia" w:ascii="仿宋_GB2312" w:eastAsia="仿宋_GB2312"/>
          <w:sz w:val="32"/>
          <w:szCs w:val="32"/>
        </w:rPr>
      </w:pPr>
      <w:r>
        <w:rPr>
          <w:rFonts w:hint="eastAsia" w:ascii="仿宋_GB2312" w:eastAsia="仿宋_GB2312"/>
          <w:sz w:val="32"/>
          <w:szCs w:val="32"/>
        </w:rPr>
        <w:t>联系人：***       联系电话：***</w:t>
      </w:r>
    </w:p>
    <w:p>
      <w:pPr>
        <w:tabs>
          <w:tab w:val="left" w:pos="2800"/>
        </w:tabs>
        <w:ind w:left="640"/>
        <w:rPr>
          <w:rFonts w:hint="eastAsia" w:ascii="仿宋_GB2312" w:eastAsia="仿宋_GB2312"/>
          <w:sz w:val="32"/>
          <w:szCs w:val="32"/>
        </w:rPr>
      </w:pPr>
      <w:r>
        <w:rPr>
          <w:rFonts w:hint="eastAsia" w:ascii="仿宋_GB2312" w:eastAsia="仿宋_GB2312"/>
          <w:sz w:val="32"/>
          <w:szCs w:val="32"/>
        </w:rPr>
        <w:t>报价单位注册地详细地址：****</w:t>
      </w:r>
    </w:p>
    <w:p>
      <w:pPr>
        <w:tabs>
          <w:tab w:val="left" w:pos="2800"/>
        </w:tabs>
        <w:ind w:left="640"/>
        <w:rPr>
          <w:rFonts w:hint="eastAsia" w:ascii="仿宋_GB2312" w:hAnsi="等线" w:eastAsia="仿宋_GB2312" w:cs="Times New Roman"/>
          <w:sz w:val="32"/>
          <w:szCs w:val="32"/>
          <w:lang w:eastAsia="zh-CN"/>
        </w:rPr>
      </w:pPr>
    </w:p>
    <w:p>
      <w:pPr>
        <w:tabs>
          <w:tab w:val="left" w:pos="2800"/>
        </w:tabs>
        <w:ind w:left="640"/>
        <w:rPr>
          <w:rFonts w:hint="eastAsia" w:ascii="方正小标宋简体" w:eastAsia="方正小标宋简体"/>
          <w:sz w:val="44"/>
          <w:szCs w:val="44"/>
        </w:rPr>
      </w:pPr>
      <w:r>
        <w:rPr>
          <w:rFonts w:hint="eastAsia" w:ascii="方正小标宋简体" w:eastAsia="方正小标宋简体"/>
          <w:sz w:val="44"/>
          <w:szCs w:val="44"/>
        </w:rPr>
        <w:t xml:space="preserve">               </w:t>
      </w:r>
    </w:p>
    <w:p>
      <w:pPr>
        <w:tabs>
          <w:tab w:val="left" w:pos="2800"/>
        </w:tabs>
        <w:ind w:left="640"/>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仿宋_GB2312" w:eastAsia="仿宋_GB2312"/>
          <w:sz w:val="32"/>
          <w:szCs w:val="32"/>
        </w:rPr>
        <w:t>报价单位（盖章）：***</w:t>
      </w:r>
    </w:p>
    <w:p>
      <w:pPr>
        <w:tabs>
          <w:tab w:val="left" w:pos="2800"/>
        </w:tabs>
        <w:ind w:left="640"/>
        <w:rPr>
          <w:rFonts w:hint="eastAsia" w:ascii="仿宋_GB2312" w:eastAsia="仿宋_GB2312"/>
          <w:sz w:val="32"/>
          <w:szCs w:val="32"/>
        </w:rPr>
      </w:pPr>
      <w:r>
        <w:rPr>
          <w:rFonts w:hint="eastAsia" w:ascii="仿宋_GB2312" w:eastAsia="仿宋_GB2312"/>
          <w:sz w:val="32"/>
          <w:szCs w:val="32"/>
        </w:rPr>
        <w:t xml:space="preserve">                      日期：202</w:t>
      </w:r>
      <w:r>
        <w:rPr>
          <w:rFonts w:hint="eastAsia" w:ascii="仿宋_GB2312" w:eastAsia="仿宋_GB2312"/>
          <w:sz w:val="32"/>
          <w:szCs w:val="32"/>
          <w:lang w:val="en-US" w:eastAsia="zh-CN"/>
        </w:rPr>
        <w:t>5</w:t>
      </w:r>
      <w:r>
        <w:rPr>
          <w:rFonts w:hint="eastAsia" w:ascii="仿宋_GB2312" w:eastAsia="仿宋_GB2312"/>
          <w:sz w:val="32"/>
          <w:szCs w:val="32"/>
        </w:rPr>
        <w:t>年**月**日</w:t>
      </w:r>
    </w:p>
    <w:p>
      <w:pPr>
        <w:numPr>
          <w:ilvl w:val="0"/>
          <w:numId w:val="0"/>
        </w:numPr>
        <w:tabs>
          <w:tab w:val="left" w:pos="2800"/>
        </w:tabs>
        <w:rPr>
          <w:rFonts w:hint="eastAsia" w:ascii="仿宋_GB2312" w:eastAsia="仿宋_GB2312"/>
          <w:sz w:val="32"/>
          <w:szCs w:val="32"/>
          <w:lang w:eastAsia="zh-CN"/>
        </w:rPr>
      </w:pPr>
      <w:r>
        <w:rPr>
          <w:rFonts w:hint="eastAsia" w:ascii="仿宋_GB2312" w:eastAsia="仿宋_GB2312"/>
          <w:sz w:val="32"/>
          <w:szCs w:val="32"/>
        </w:rPr>
        <w:br w:type="page"/>
      </w:r>
      <w:r>
        <w:rPr>
          <w:rFonts w:hint="eastAsia" w:ascii="黑体" w:hAnsi="黑体" w:eastAsia="黑体" w:cs="黑体"/>
          <w:sz w:val="32"/>
          <w:szCs w:val="32"/>
          <w:lang w:eastAsia="zh-CN"/>
        </w:rPr>
        <w:t>附件</w:t>
      </w:r>
    </w:p>
    <w:p>
      <w:pPr>
        <w:numPr>
          <w:ilvl w:val="0"/>
          <w:numId w:val="0"/>
        </w:numPr>
        <w:tabs>
          <w:tab w:val="left" w:pos="2800"/>
        </w:tabs>
        <w:ind w:left="640" w:leftChars="0"/>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证明</w:t>
      </w:r>
      <w:r>
        <w:rPr>
          <w:rFonts w:hint="eastAsia" w:ascii="方正小标宋简体" w:hAnsi="方正小标宋简体" w:eastAsia="方正小标宋简体" w:cs="方正小标宋简体"/>
          <w:sz w:val="40"/>
          <w:szCs w:val="40"/>
        </w:rPr>
        <w:t>材料</w:t>
      </w:r>
      <w:r>
        <w:rPr>
          <w:rFonts w:hint="eastAsia" w:ascii="方正小标宋简体" w:hAnsi="方正小标宋简体" w:eastAsia="方正小标宋简体" w:cs="方正小标宋简体"/>
          <w:sz w:val="40"/>
          <w:szCs w:val="40"/>
          <w:lang w:eastAsia="zh-CN"/>
        </w:rPr>
        <w:t>提交清单</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（一）采购项目报价单；</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（二）有效证照等证明文件；</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（三）授权书（若有，需要提供授权人和被授权人身份证信息以及身份证复印件等）；</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（四）政府采购法第二十二条规定条件相关材料；</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1.具有独立承担民事责任的能力声明函；</w:t>
      </w:r>
    </w:p>
    <w:p>
      <w:pPr>
        <w:tabs>
          <w:tab w:val="left" w:pos="2800"/>
        </w:tabs>
        <w:ind w:firstLine="640" w:firstLineChars="200"/>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2.财务状况报告（财务报告或资信证明）；</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3.具备履行合同所必需设备和专业技术能力的声明函；</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4.依法缴纳税收证明材料；</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5.依法缴纳社会保障资金证明材料；</w:t>
      </w:r>
    </w:p>
    <w:p>
      <w:pPr>
        <w:tabs>
          <w:tab w:val="left" w:pos="2800"/>
        </w:tabs>
        <w:ind w:firstLine="640" w:firstLineChars="200"/>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6.参加采购活动前三年内没有重大违法记录书面声明。</w:t>
      </w:r>
    </w:p>
    <w:p>
      <w:pPr>
        <w:tabs>
          <w:tab w:val="left" w:pos="2800"/>
        </w:tabs>
        <w:ind w:left="638" w:leftChars="304" w:firstLine="0" w:firstLineChars="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（五）项目所需资质证明材料和配备项目经理资格材料；（六）2022年1月以来符合要求的业绩；</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（七）项目实施规划、方案和布局图等</w:t>
      </w:r>
    </w:p>
    <w:p>
      <w:pPr>
        <w:tabs>
          <w:tab w:val="left" w:pos="2800"/>
        </w:tabs>
        <w:ind w:firstLine="640" w:firstLineChars="200"/>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（八）联合体声明（若有）；</w:t>
      </w:r>
    </w:p>
    <w:p>
      <w:pPr>
        <w:tabs>
          <w:tab w:val="left" w:pos="2800"/>
        </w:tabs>
        <w:ind w:firstLine="640" w:firstLineChars="200"/>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（九）《采购内容及要求》响应文件，具体如下：</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val="en-US" w:eastAsia="zh-CN"/>
        </w:rPr>
        <w:t>1.</w:t>
      </w:r>
      <w:r>
        <w:rPr>
          <w:rFonts w:hint="eastAsia" w:ascii="楷体_GB2312" w:hAnsi="楷体_GB2312" w:eastAsia="楷体_GB2312" w:cs="楷体_GB2312"/>
          <w:b/>
          <w:bCs/>
          <w:color w:val="000000"/>
          <w:kern w:val="0"/>
          <w:sz w:val="32"/>
          <w:szCs w:val="32"/>
          <w:lang w:eastAsia="zh-CN"/>
        </w:rPr>
        <w:t>设备清单（最低基础要求）</w:t>
      </w:r>
    </w:p>
    <w:tbl>
      <w:tblPr>
        <w:tblStyle w:val="4"/>
        <w:tblW w:w="919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097"/>
        <w:gridCol w:w="3331"/>
        <w:gridCol w:w="666"/>
        <w:gridCol w:w="700"/>
        <w:gridCol w:w="850"/>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12"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序号</w:t>
            </w:r>
          </w:p>
        </w:tc>
        <w:tc>
          <w:tcPr>
            <w:tcW w:w="2097"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设备/材料</w:t>
            </w:r>
          </w:p>
        </w:tc>
        <w:tc>
          <w:tcPr>
            <w:tcW w:w="3331" w:type="dxa"/>
            <w:shd w:val="clear" w:color="auto" w:fill="auto"/>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规格要求</w:t>
            </w:r>
          </w:p>
        </w:tc>
        <w:tc>
          <w:tcPr>
            <w:tcW w:w="666"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单位</w:t>
            </w:r>
          </w:p>
        </w:tc>
        <w:tc>
          <w:tcPr>
            <w:tcW w:w="700"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数量</w:t>
            </w:r>
          </w:p>
        </w:tc>
        <w:tc>
          <w:tcPr>
            <w:tcW w:w="850"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单价</w:t>
            </w:r>
          </w:p>
        </w:tc>
        <w:tc>
          <w:tcPr>
            <w:tcW w:w="834"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9190" w:type="dxa"/>
            <w:gridSpan w:val="7"/>
            <w:shd w:val="clear" w:color="auto" w:fill="auto"/>
            <w:noWrap/>
            <w:vAlign w:val="center"/>
          </w:tcPr>
          <w:p>
            <w:pPr>
              <w:widowControl/>
              <w:jc w:val="left"/>
              <w:textAlignment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1.无纸化会议系统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w:t>
            </w:r>
          </w:p>
        </w:tc>
        <w:tc>
          <w:tcPr>
            <w:tcW w:w="2097" w:type="dxa"/>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无纸化主机（含配套管理软件）</w:t>
            </w:r>
          </w:p>
        </w:tc>
        <w:tc>
          <w:tcPr>
            <w:tcW w:w="3331" w:type="dxa"/>
            <w:shd w:val="clear" w:color="auto" w:fill="auto"/>
            <w:vAlign w:val="center"/>
          </w:tcPr>
          <w:p>
            <w:pPr>
              <w:widowControl/>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台</w:t>
            </w:r>
          </w:p>
        </w:tc>
        <w:tc>
          <w:tcPr>
            <w:tcW w:w="700"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850"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w:t>
            </w:r>
          </w:p>
        </w:tc>
        <w:tc>
          <w:tcPr>
            <w:tcW w:w="2097" w:type="dxa"/>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无纸化流媒体主机（含配套软件）</w:t>
            </w:r>
          </w:p>
        </w:tc>
        <w:tc>
          <w:tcPr>
            <w:tcW w:w="3331" w:type="dxa"/>
            <w:shd w:val="clear" w:color="auto" w:fill="auto"/>
            <w:vAlign w:val="center"/>
          </w:tcPr>
          <w:p>
            <w:pPr>
              <w:widowControl/>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台</w:t>
            </w:r>
          </w:p>
        </w:tc>
        <w:tc>
          <w:tcPr>
            <w:tcW w:w="700"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850"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w:t>
            </w:r>
          </w:p>
        </w:tc>
        <w:tc>
          <w:tcPr>
            <w:tcW w:w="2097" w:type="dxa"/>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无纸化升降器（含配套软件）</w:t>
            </w:r>
          </w:p>
        </w:tc>
        <w:tc>
          <w:tcPr>
            <w:tcW w:w="3331" w:type="dxa"/>
            <w:shd w:val="clear" w:color="auto" w:fill="auto"/>
            <w:vAlign w:val="center"/>
          </w:tcPr>
          <w:p>
            <w:pPr>
              <w:widowControl/>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台</w:t>
            </w:r>
          </w:p>
        </w:tc>
        <w:tc>
          <w:tcPr>
            <w:tcW w:w="700"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850"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w:t>
            </w:r>
          </w:p>
        </w:tc>
        <w:tc>
          <w:tcPr>
            <w:tcW w:w="2097" w:type="dxa"/>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无纸化会议终端（含配套软件）</w:t>
            </w:r>
          </w:p>
        </w:tc>
        <w:tc>
          <w:tcPr>
            <w:tcW w:w="3331" w:type="dxa"/>
            <w:shd w:val="clear" w:color="auto" w:fill="auto"/>
            <w:vAlign w:val="center"/>
          </w:tcPr>
          <w:p>
            <w:pPr>
              <w:widowControl/>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台</w:t>
            </w:r>
          </w:p>
        </w:tc>
        <w:tc>
          <w:tcPr>
            <w:tcW w:w="700"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10</w:t>
            </w:r>
          </w:p>
        </w:tc>
        <w:tc>
          <w:tcPr>
            <w:tcW w:w="850"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w:t>
            </w:r>
          </w:p>
        </w:tc>
        <w:tc>
          <w:tcPr>
            <w:tcW w:w="2097" w:type="dxa"/>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会议桌</w:t>
            </w:r>
          </w:p>
        </w:tc>
        <w:tc>
          <w:tcPr>
            <w:tcW w:w="3331" w:type="dxa"/>
            <w:shd w:val="clear" w:color="auto" w:fill="auto"/>
            <w:vAlign w:val="center"/>
          </w:tcPr>
          <w:p>
            <w:pPr>
              <w:widowControl/>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张</w:t>
            </w:r>
          </w:p>
        </w:tc>
        <w:tc>
          <w:tcPr>
            <w:tcW w:w="700"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850"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w:t>
            </w:r>
          </w:p>
        </w:tc>
        <w:tc>
          <w:tcPr>
            <w:tcW w:w="2097" w:type="dxa"/>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旁听条桌</w:t>
            </w:r>
          </w:p>
        </w:tc>
        <w:tc>
          <w:tcPr>
            <w:tcW w:w="3331" w:type="dxa"/>
            <w:shd w:val="clear" w:color="auto" w:fill="auto"/>
            <w:vAlign w:val="center"/>
          </w:tcPr>
          <w:p>
            <w:pPr>
              <w:widowControl/>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张</w:t>
            </w:r>
          </w:p>
        </w:tc>
        <w:tc>
          <w:tcPr>
            <w:tcW w:w="700"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p>
        </w:tc>
        <w:tc>
          <w:tcPr>
            <w:tcW w:w="850"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w:t>
            </w:r>
          </w:p>
        </w:tc>
        <w:tc>
          <w:tcPr>
            <w:tcW w:w="2097" w:type="dxa"/>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会议座椅</w:t>
            </w:r>
          </w:p>
        </w:tc>
        <w:tc>
          <w:tcPr>
            <w:tcW w:w="3331" w:type="dxa"/>
            <w:shd w:val="clear" w:color="auto" w:fill="auto"/>
            <w:vAlign w:val="center"/>
          </w:tcPr>
          <w:p>
            <w:pPr>
              <w:widowControl/>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张</w:t>
            </w:r>
          </w:p>
        </w:tc>
        <w:tc>
          <w:tcPr>
            <w:tcW w:w="700"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w:t>
            </w:r>
          </w:p>
        </w:tc>
        <w:tc>
          <w:tcPr>
            <w:tcW w:w="850"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9190" w:type="dxa"/>
            <w:gridSpan w:val="7"/>
            <w:shd w:val="clear" w:color="auto" w:fill="auto"/>
            <w:vAlign w:val="center"/>
          </w:tcPr>
          <w:p>
            <w:pPr>
              <w:widowControl/>
              <w:textAlignment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2.高清视频输出系</w:t>
            </w:r>
            <w:bookmarkStart w:id="0" w:name="_GoBack"/>
            <w:bookmarkEnd w:id="0"/>
            <w:r>
              <w:rPr>
                <w:rFonts w:hint="eastAsia" w:ascii="仿宋_GB2312" w:hAnsi="仿宋_GB2312" w:eastAsia="仿宋_GB2312" w:cs="仿宋_GB2312"/>
                <w:b/>
                <w:bCs/>
                <w:color w:val="000000"/>
                <w:kern w:val="0"/>
                <w:sz w:val="24"/>
              </w:rPr>
              <w:t>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2.1</w:t>
            </w:r>
          </w:p>
        </w:tc>
        <w:tc>
          <w:tcPr>
            <w:tcW w:w="2097" w:type="dxa"/>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超高清视频切换</w:t>
            </w:r>
          </w:p>
        </w:tc>
        <w:tc>
          <w:tcPr>
            <w:tcW w:w="3331" w:type="dxa"/>
            <w:shd w:val="clear" w:color="auto" w:fill="auto"/>
            <w:vAlign w:val="center"/>
          </w:tcPr>
          <w:p>
            <w:pPr>
              <w:widowControl/>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台</w:t>
            </w:r>
          </w:p>
        </w:tc>
        <w:tc>
          <w:tcPr>
            <w:tcW w:w="700"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850"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w:t>
            </w:r>
          </w:p>
        </w:tc>
        <w:tc>
          <w:tcPr>
            <w:tcW w:w="2097" w:type="dxa"/>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多媒体插座</w:t>
            </w:r>
          </w:p>
        </w:tc>
        <w:tc>
          <w:tcPr>
            <w:tcW w:w="3331" w:type="dxa"/>
            <w:shd w:val="clear" w:color="auto" w:fill="auto"/>
            <w:vAlign w:val="center"/>
          </w:tcPr>
          <w:p>
            <w:pPr>
              <w:widowControl/>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台</w:t>
            </w:r>
          </w:p>
        </w:tc>
        <w:tc>
          <w:tcPr>
            <w:tcW w:w="700"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850"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190" w:type="dxa"/>
            <w:gridSpan w:val="7"/>
            <w:shd w:val="clear" w:color="auto" w:fill="auto"/>
            <w:vAlign w:val="center"/>
          </w:tcPr>
          <w:p>
            <w:pPr>
              <w:widowControl/>
              <w:jc w:val="left"/>
              <w:textAlignment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3.会议室维修改造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3.1</w:t>
            </w:r>
          </w:p>
        </w:tc>
        <w:tc>
          <w:tcPr>
            <w:tcW w:w="2097" w:type="dxa"/>
            <w:shd w:val="clear" w:color="auto" w:fill="auto"/>
            <w:noWrap/>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木地板更换</w:t>
            </w:r>
          </w:p>
        </w:tc>
        <w:tc>
          <w:tcPr>
            <w:tcW w:w="3331" w:type="dxa"/>
            <w:shd w:val="clear" w:color="auto" w:fill="auto"/>
            <w:noWrap/>
            <w:vAlign w:val="center"/>
          </w:tcPr>
          <w:p>
            <w:pPr>
              <w:widowControl/>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详见（二）无纸化会议系统技术要求</w:t>
            </w:r>
          </w:p>
        </w:tc>
        <w:tc>
          <w:tcPr>
            <w:tcW w:w="666" w:type="dxa"/>
            <w:shd w:val="clear" w:color="auto" w:fill="auto"/>
            <w:noWrap/>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平方</w:t>
            </w:r>
          </w:p>
        </w:tc>
        <w:tc>
          <w:tcPr>
            <w:tcW w:w="700" w:type="dxa"/>
            <w:shd w:val="clear" w:color="auto" w:fill="auto"/>
            <w:noWrap/>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w:t>
            </w:r>
          </w:p>
        </w:tc>
        <w:tc>
          <w:tcPr>
            <w:tcW w:w="850" w:type="dxa"/>
            <w:shd w:val="clear" w:color="auto" w:fill="auto"/>
            <w:noWrap/>
            <w:vAlign w:val="center"/>
          </w:tcPr>
          <w:p>
            <w:pPr>
              <w:widowControl/>
              <w:jc w:val="left"/>
              <w:textAlignment w:val="center"/>
              <w:rPr>
                <w:rFonts w:ascii="仿宋_GB2312" w:hAnsi="仿宋_GB2312" w:eastAsia="仿宋_GB2312" w:cs="仿宋_GB2312"/>
                <w:color w:val="000000"/>
                <w:kern w:val="0"/>
                <w:sz w:val="24"/>
              </w:rPr>
            </w:pPr>
          </w:p>
        </w:tc>
        <w:tc>
          <w:tcPr>
            <w:tcW w:w="834" w:type="dxa"/>
            <w:shd w:val="clear" w:color="auto" w:fill="auto"/>
            <w:noWrap/>
            <w:vAlign w:val="center"/>
          </w:tcPr>
          <w:p>
            <w:pPr>
              <w:widowControl/>
              <w:jc w:val="left"/>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3.2</w:t>
            </w:r>
          </w:p>
        </w:tc>
        <w:tc>
          <w:tcPr>
            <w:tcW w:w="2097" w:type="dxa"/>
            <w:shd w:val="clear" w:color="auto" w:fill="auto"/>
            <w:noWrap/>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地面强弱电线路敷设</w:t>
            </w:r>
          </w:p>
        </w:tc>
        <w:tc>
          <w:tcPr>
            <w:tcW w:w="3331" w:type="dxa"/>
            <w:shd w:val="clear" w:color="auto" w:fill="auto"/>
            <w:noWrap/>
            <w:vAlign w:val="center"/>
          </w:tcPr>
          <w:p>
            <w:pPr>
              <w:widowControl/>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详见（二）无纸化会议系统技术要求</w:t>
            </w:r>
          </w:p>
        </w:tc>
        <w:tc>
          <w:tcPr>
            <w:tcW w:w="666" w:type="dxa"/>
            <w:shd w:val="clear" w:color="auto" w:fill="auto"/>
            <w:noWrap/>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平方</w:t>
            </w:r>
          </w:p>
        </w:tc>
        <w:tc>
          <w:tcPr>
            <w:tcW w:w="700" w:type="dxa"/>
            <w:shd w:val="clear" w:color="auto" w:fill="auto"/>
            <w:noWrap/>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50</w:t>
            </w:r>
          </w:p>
        </w:tc>
        <w:tc>
          <w:tcPr>
            <w:tcW w:w="850" w:type="dxa"/>
            <w:shd w:val="clear" w:color="auto" w:fill="auto"/>
            <w:noWrap/>
            <w:vAlign w:val="center"/>
          </w:tcPr>
          <w:p>
            <w:pPr>
              <w:widowControl/>
              <w:jc w:val="left"/>
              <w:textAlignment w:val="center"/>
              <w:rPr>
                <w:rFonts w:ascii="仿宋_GB2312" w:hAnsi="仿宋_GB2312" w:eastAsia="仿宋_GB2312" w:cs="仿宋_GB2312"/>
                <w:color w:val="000000"/>
                <w:kern w:val="0"/>
                <w:sz w:val="24"/>
              </w:rPr>
            </w:pPr>
          </w:p>
        </w:tc>
        <w:tc>
          <w:tcPr>
            <w:tcW w:w="834" w:type="dxa"/>
            <w:shd w:val="clear" w:color="auto" w:fill="auto"/>
            <w:noWrap/>
            <w:vAlign w:val="center"/>
          </w:tcPr>
          <w:p>
            <w:pPr>
              <w:widowControl/>
              <w:jc w:val="left"/>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3.3</w:t>
            </w:r>
          </w:p>
        </w:tc>
        <w:tc>
          <w:tcPr>
            <w:tcW w:w="2097" w:type="dxa"/>
            <w:shd w:val="clear" w:color="auto" w:fill="auto"/>
            <w:noWrap/>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墙面涂料粉刷</w:t>
            </w:r>
          </w:p>
        </w:tc>
        <w:tc>
          <w:tcPr>
            <w:tcW w:w="3331" w:type="dxa"/>
            <w:shd w:val="clear" w:color="auto" w:fill="auto"/>
            <w:noWrap/>
            <w:vAlign w:val="center"/>
          </w:tcPr>
          <w:p>
            <w:pPr>
              <w:widowControl/>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详见（二）无纸化会议系统技术要求</w:t>
            </w:r>
          </w:p>
        </w:tc>
        <w:tc>
          <w:tcPr>
            <w:tcW w:w="666" w:type="dxa"/>
            <w:shd w:val="clear" w:color="auto" w:fill="auto"/>
            <w:noWrap/>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平方</w:t>
            </w:r>
          </w:p>
        </w:tc>
        <w:tc>
          <w:tcPr>
            <w:tcW w:w="700" w:type="dxa"/>
            <w:shd w:val="clear" w:color="auto" w:fill="auto"/>
            <w:noWrap/>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80</w:t>
            </w:r>
          </w:p>
        </w:tc>
        <w:tc>
          <w:tcPr>
            <w:tcW w:w="850" w:type="dxa"/>
            <w:shd w:val="clear" w:color="auto" w:fill="auto"/>
            <w:noWrap/>
            <w:vAlign w:val="center"/>
          </w:tcPr>
          <w:p>
            <w:pPr>
              <w:widowControl/>
              <w:jc w:val="left"/>
              <w:textAlignment w:val="center"/>
              <w:rPr>
                <w:rFonts w:ascii="仿宋_GB2312" w:hAnsi="仿宋_GB2312" w:eastAsia="仿宋_GB2312" w:cs="仿宋_GB2312"/>
                <w:color w:val="000000"/>
                <w:kern w:val="0"/>
                <w:sz w:val="24"/>
              </w:rPr>
            </w:pPr>
          </w:p>
        </w:tc>
        <w:tc>
          <w:tcPr>
            <w:tcW w:w="834" w:type="dxa"/>
            <w:shd w:val="clear" w:color="auto" w:fill="auto"/>
            <w:noWrap/>
            <w:vAlign w:val="center"/>
          </w:tcPr>
          <w:p>
            <w:pPr>
              <w:widowControl/>
              <w:jc w:val="left"/>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90" w:type="dxa"/>
            <w:gridSpan w:val="7"/>
            <w:shd w:val="clear" w:color="auto" w:fill="auto"/>
            <w:vAlign w:val="center"/>
          </w:tcPr>
          <w:p>
            <w:pPr>
              <w:widowControl/>
              <w:jc w:val="left"/>
              <w:textAlignment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4.辅助材料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2" w:type="dxa"/>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4.1</w:t>
            </w:r>
          </w:p>
        </w:tc>
        <w:tc>
          <w:tcPr>
            <w:tcW w:w="2097" w:type="dxa"/>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机柜</w:t>
            </w:r>
          </w:p>
        </w:tc>
        <w:tc>
          <w:tcPr>
            <w:tcW w:w="3331"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c>
          <w:tcPr>
            <w:tcW w:w="666"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套</w:t>
            </w:r>
          </w:p>
        </w:tc>
        <w:tc>
          <w:tcPr>
            <w:tcW w:w="700"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850"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w:t>
            </w:r>
          </w:p>
        </w:tc>
        <w:tc>
          <w:tcPr>
            <w:tcW w:w="2097" w:type="dxa"/>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耗材线材</w:t>
            </w:r>
          </w:p>
        </w:tc>
        <w:tc>
          <w:tcPr>
            <w:tcW w:w="3331" w:type="dxa"/>
            <w:shd w:val="clear" w:color="auto" w:fill="auto"/>
            <w:vAlign w:val="center"/>
          </w:tcPr>
          <w:p>
            <w:pPr>
              <w:widowControl/>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包括各类音视频连接线，六类网线，电源线等必要材料和辅材</w:t>
            </w:r>
          </w:p>
        </w:tc>
        <w:tc>
          <w:tcPr>
            <w:tcW w:w="666"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批</w:t>
            </w:r>
          </w:p>
        </w:tc>
        <w:tc>
          <w:tcPr>
            <w:tcW w:w="700" w:type="dxa"/>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850"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356" w:type="dxa"/>
            <w:gridSpan w:val="6"/>
            <w:shd w:val="clear" w:color="auto" w:fill="auto"/>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合计</w:t>
            </w:r>
          </w:p>
        </w:tc>
        <w:tc>
          <w:tcPr>
            <w:tcW w:w="834" w:type="dxa"/>
            <w:shd w:val="clear" w:color="auto" w:fill="auto"/>
            <w:vAlign w:val="center"/>
          </w:tcPr>
          <w:p>
            <w:pPr>
              <w:widowControl/>
              <w:jc w:val="left"/>
              <w:textAlignment w:val="center"/>
              <w:rPr>
                <w:rFonts w:ascii="仿宋_GB2312" w:hAnsi="仿宋_GB2312" w:eastAsia="仿宋_GB2312" w:cs="仿宋_GB2312"/>
                <w:color w:val="000000"/>
                <w:kern w:val="0"/>
                <w:sz w:val="24"/>
              </w:rPr>
            </w:pPr>
          </w:p>
        </w:tc>
      </w:tr>
    </w:tbl>
    <w:p>
      <w:pPr>
        <w:tabs>
          <w:tab w:val="left" w:pos="2800"/>
        </w:tabs>
        <w:ind w:firstLine="643" w:firstLineChars="200"/>
        <w:rPr>
          <w:rFonts w:hint="eastAsia" w:ascii="仿宋_GB2312" w:hAnsi="等线" w:eastAsia="仿宋_GB2312" w:cs="Times New Roman"/>
          <w:b/>
          <w:bCs/>
          <w:sz w:val="32"/>
          <w:szCs w:val="32"/>
          <w:lang w:val="en-US" w:eastAsia="zh-CN"/>
        </w:rPr>
      </w:pPr>
    </w:p>
    <w:p>
      <w:pPr>
        <w:tabs>
          <w:tab w:val="left" w:pos="2800"/>
        </w:tabs>
        <w:ind w:firstLine="643" w:firstLineChars="200"/>
        <w:rPr>
          <w:rFonts w:hint="default" w:ascii="仿宋_GB2312" w:hAnsi="等线" w:eastAsia="仿宋_GB2312" w:cs="Times New Roman"/>
          <w:b/>
          <w:bCs/>
          <w:sz w:val="32"/>
          <w:szCs w:val="32"/>
          <w:lang w:val="en-US" w:eastAsia="zh-CN"/>
        </w:rPr>
      </w:pPr>
      <w:r>
        <w:rPr>
          <w:rFonts w:hint="eastAsia" w:ascii="仿宋_GB2312" w:hAnsi="等线" w:eastAsia="仿宋_GB2312" w:cs="Times New Roman"/>
          <w:b/>
          <w:bCs/>
          <w:sz w:val="32"/>
          <w:szCs w:val="32"/>
          <w:lang w:val="en-US" w:eastAsia="zh-CN"/>
        </w:rPr>
        <w:t>2.采购内容及要求响应表</w:t>
      </w:r>
    </w:p>
    <w:tbl>
      <w:tblPr>
        <w:tblStyle w:val="5"/>
        <w:tblW w:w="8945"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4991"/>
        <w:gridCol w:w="1675"/>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default" w:ascii="仿宋_GB2312" w:hAnsi="等线" w:eastAsia="仿宋_GB2312" w:cs="Times New Roman"/>
                <w:sz w:val="24"/>
                <w:szCs w:val="24"/>
                <w:vertAlign w:val="baseline"/>
                <w:lang w:val="en-US" w:eastAsia="zh-CN"/>
              </w:rPr>
            </w:pPr>
            <w:r>
              <w:rPr>
                <w:rFonts w:hint="eastAsia" w:ascii="仿宋_GB2312" w:hAnsi="等线" w:eastAsia="仿宋_GB2312" w:cs="Times New Roman"/>
                <w:sz w:val="24"/>
                <w:szCs w:val="24"/>
                <w:vertAlign w:val="baseline"/>
                <w:lang w:val="en-US" w:eastAsia="zh-CN"/>
              </w:rPr>
              <w:t>章节</w:t>
            </w:r>
          </w:p>
        </w:tc>
        <w:tc>
          <w:tcPr>
            <w:tcW w:w="4991" w:type="dxa"/>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default" w:ascii="仿宋_GB2312" w:hAnsi="等线" w:eastAsia="仿宋_GB2312" w:cs="Times New Roman"/>
                <w:sz w:val="24"/>
                <w:szCs w:val="24"/>
                <w:vertAlign w:val="baseline"/>
                <w:lang w:val="en-US" w:eastAsia="zh-CN"/>
              </w:rPr>
            </w:pPr>
            <w:r>
              <w:rPr>
                <w:rFonts w:hint="eastAsia" w:ascii="仿宋_GB2312" w:hAnsi="等线" w:eastAsia="仿宋_GB2312" w:cs="Times New Roman"/>
                <w:sz w:val="24"/>
                <w:szCs w:val="24"/>
                <w:vertAlign w:val="baseline"/>
                <w:lang w:val="en-US" w:eastAsia="zh-CN"/>
              </w:rPr>
              <w:t>内容及要求</w:t>
            </w:r>
          </w:p>
        </w:tc>
        <w:tc>
          <w:tcPr>
            <w:tcW w:w="1675" w:type="dxa"/>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default" w:ascii="仿宋_GB2312" w:hAnsi="等线" w:eastAsia="仿宋_GB2312" w:cs="Times New Roman"/>
                <w:sz w:val="24"/>
                <w:szCs w:val="24"/>
                <w:vertAlign w:val="baseline"/>
                <w:lang w:val="en-US" w:eastAsia="zh-CN"/>
              </w:rPr>
            </w:pPr>
            <w:r>
              <w:rPr>
                <w:rFonts w:hint="eastAsia" w:ascii="仿宋_GB2312" w:hAnsi="等线" w:eastAsia="仿宋_GB2312" w:cs="Times New Roman"/>
                <w:sz w:val="24"/>
                <w:szCs w:val="24"/>
                <w:vertAlign w:val="baseline"/>
                <w:lang w:val="en-US" w:eastAsia="zh-CN"/>
              </w:rPr>
              <w:t>响应情况</w:t>
            </w:r>
          </w:p>
        </w:tc>
        <w:tc>
          <w:tcPr>
            <w:tcW w:w="867" w:type="dxa"/>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default" w:ascii="仿宋_GB2312" w:hAnsi="等线" w:eastAsia="仿宋_GB2312" w:cs="Times New Roman"/>
                <w:sz w:val="24"/>
                <w:szCs w:val="24"/>
                <w:vertAlign w:val="baseline"/>
                <w:lang w:val="en-US" w:eastAsia="zh-CN"/>
              </w:rPr>
            </w:pPr>
            <w:r>
              <w:rPr>
                <w:rFonts w:hint="eastAsia" w:ascii="仿宋_GB2312" w:hAnsi="等线" w:eastAsia="仿宋_GB2312" w:cs="Times New Roman"/>
                <w:sz w:val="24"/>
                <w:szCs w:val="24"/>
                <w:vertAlign w:val="baseline"/>
                <w:lang w:val="en-US" w:eastAsia="zh-CN"/>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2"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（二）无纸化会议系统</w:t>
            </w:r>
          </w:p>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textAlignment w:val="auto"/>
              <w:rPr>
                <w:rFonts w:ascii="仿宋_GB2312" w:eastAsia="仿宋_GB2312" w:cs="DejaVuSans"/>
                <w:b/>
                <w:bCs/>
                <w:color w:val="000000"/>
                <w:kern w:val="0"/>
                <w:sz w:val="24"/>
                <w:szCs w:val="24"/>
              </w:rPr>
            </w:pPr>
            <w:r>
              <w:rPr>
                <w:rFonts w:hint="eastAsia" w:ascii="仿宋_GB2312" w:eastAsia="仿宋_GB2312" w:cs="DejaVuSans"/>
                <w:b/>
                <w:bCs/>
                <w:color w:val="000000"/>
                <w:kern w:val="0"/>
                <w:sz w:val="24"/>
                <w:szCs w:val="24"/>
              </w:rPr>
              <w:t>1.无纸化主机（含配套管理软件）</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1）无纸化服务主机搭配管理软件，负责处理会议功能模块、会议主题、参会人员信息、会议议题、投票内容会前信息预设，具有会议各类文件资料的上传分发、人员的权限管理设置、会议信息的实时记录应用功能。</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（2）产品使用国家密码管理局制定的SM2、SM4国产加密算法，对数据文件进行加密处理，并在传输过程中保持加密状态。</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（3）搭配云会务系统支持统一管理无纸化会议室设备，并对设备进行定时/周期联检功能。</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（4）采用CPU配置≥四核八线程；内存配置≥8G，硬盘容量≥1TB；具有千兆网络接口≥2×LAN；具有视频输出接口：≥1×DVI,≥1× HDMI，≥1×VGA；具备音频接口：≥1×MIC in,≥1× Line out,≥1× Line in；其他接口：≥2×USB2.0,≥4×USB3.0 ，≥2×COM RS232，≥1×PS/2。</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（5）配套软件具有自定义无纸化系统功能，包括开启或关闭个人中心上传文件、会议自动结束、议题通知、三员管理、选择广播/主讲模式等。</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（6）配套软件具有切换客户端个性化主题和布局样式功能，可切换≥四种客户端会议模式。</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等线" w:eastAsia="仿宋_GB2312" w:cs="Times New Roman"/>
                <w:sz w:val="24"/>
                <w:szCs w:val="24"/>
                <w:vertAlign w:val="baseline"/>
                <w:lang w:val="en-US" w:eastAsia="zh-CN"/>
              </w:rPr>
            </w:pPr>
            <w:r>
              <w:rPr>
                <w:rFonts w:hint="eastAsia" w:ascii="仿宋_GB2312" w:eastAsia="仿宋_GB2312" w:cs="DejaVuSans"/>
                <w:color w:val="000000"/>
                <w:kern w:val="0"/>
                <w:sz w:val="24"/>
                <w:szCs w:val="24"/>
              </w:rPr>
              <w:t>（7）配套软件具有自定义创建会议功能，可提前预设无纸化客户端界面不同会议模式；包括普通会议和保密会议，保密会议具有阅后即焚、文档水印保密机制。</w:t>
            </w:r>
          </w:p>
        </w:tc>
        <w:tc>
          <w:tcPr>
            <w:tcW w:w="1675" w:type="dxa"/>
            <w:vMerge w:val="restart"/>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c>
          <w:tcPr>
            <w:tcW w:w="867" w:type="dxa"/>
            <w:vMerge w:val="restart"/>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7" w:hRule="atLeast"/>
        </w:trPr>
        <w:tc>
          <w:tcPr>
            <w:tcW w:w="1412"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sz w:val="24"/>
                <w:szCs w:val="24"/>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textAlignment w:val="auto"/>
              <w:rPr>
                <w:rFonts w:ascii="仿宋_GB2312" w:eastAsia="仿宋_GB2312" w:cs="DejaVuSans"/>
                <w:b/>
                <w:bCs/>
                <w:color w:val="000000"/>
                <w:kern w:val="0"/>
                <w:sz w:val="24"/>
                <w:szCs w:val="24"/>
              </w:rPr>
            </w:pPr>
            <w:r>
              <w:rPr>
                <w:rFonts w:hint="eastAsia" w:ascii="仿宋_GB2312" w:eastAsia="仿宋_GB2312" w:cs="DejaVuSans"/>
                <w:b/>
                <w:bCs/>
                <w:color w:val="000000"/>
                <w:kern w:val="0"/>
                <w:sz w:val="24"/>
                <w:szCs w:val="24"/>
              </w:rPr>
              <w:t>2.无纸化流媒体主机（含配套软件）</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1）无纸化智能流媒体服务器用于无纸化会议系统外部高清视频信号采集与编码，以及音视频信号输出。可以为无纸化会议系统提供外部音视频信号和内部音视频信号互联互通，同时支持无纸化会议签到、投票、同屏会议信息的展示功能。</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（2）服务器的CPU配置优于或等同四核，内存配置≥8G，硬盘为固态硬盘且容量≥128GB。</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（3）具有千兆网络接口≥2×LAN.</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（4）具备视频接口：≥1×DVI,≥1× HDMI，≥1×VGA；具备音频接口：≥1×MIC in,≥1× Line out,≥1× Line in；具备其他接口≥2×USB2.0,≥4×USB3.0 ，≥2×COM RS232，≥1×PS/2。</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（5）</w:t>
            </w:r>
            <w:r>
              <w:rPr>
                <w:rFonts w:ascii="仿宋_GB2312" w:eastAsia="仿宋_GB2312" w:cs="DejaVuSans"/>
                <w:color w:val="000000"/>
                <w:kern w:val="0"/>
                <w:sz w:val="24"/>
                <w:szCs w:val="24"/>
              </w:rPr>
              <w:t>支持签到投屏功能，将签到过程、签到结果展示在大屏上。</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（6）</w:t>
            </w:r>
            <w:r>
              <w:rPr>
                <w:rFonts w:ascii="仿宋_GB2312" w:eastAsia="仿宋_GB2312" w:cs="DejaVuSans"/>
                <w:color w:val="000000"/>
                <w:kern w:val="0"/>
                <w:sz w:val="24"/>
                <w:szCs w:val="24"/>
              </w:rPr>
              <w:t>支持将电子白板、会议标语、文档主讲、外部信号信息</w:t>
            </w:r>
            <w:r>
              <w:rPr>
                <w:rFonts w:hint="eastAsia" w:ascii="仿宋_GB2312" w:eastAsia="仿宋_GB2312" w:cs="DejaVuSans"/>
                <w:color w:val="000000"/>
                <w:kern w:val="0"/>
                <w:sz w:val="24"/>
                <w:szCs w:val="24"/>
              </w:rPr>
              <w:t>等</w:t>
            </w:r>
            <w:r>
              <w:rPr>
                <w:rFonts w:ascii="仿宋_GB2312" w:eastAsia="仿宋_GB2312" w:cs="DejaVuSans"/>
                <w:color w:val="000000"/>
                <w:kern w:val="0"/>
                <w:sz w:val="24"/>
                <w:szCs w:val="24"/>
              </w:rPr>
              <w:t>广播到大屏展示。</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（7）</w:t>
            </w:r>
            <w:r>
              <w:rPr>
                <w:rFonts w:ascii="仿宋_GB2312" w:eastAsia="仿宋_GB2312" w:cs="DejaVuSans"/>
                <w:color w:val="000000"/>
                <w:kern w:val="0"/>
                <w:sz w:val="24"/>
                <w:szCs w:val="24"/>
              </w:rPr>
              <w:t>支持多媒体(桌面同屏、电子白板、文档资料)分组投屏功能，可支持≥4分屏画面同时投屏输出显示。</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r>
              <w:rPr>
                <w:rFonts w:hint="eastAsia" w:ascii="仿宋_GB2312" w:eastAsia="仿宋_GB2312" w:cs="DejaVuSans"/>
                <w:color w:val="000000"/>
                <w:kern w:val="0"/>
                <w:sz w:val="24"/>
                <w:szCs w:val="24"/>
              </w:rPr>
              <w:t>（8）</w:t>
            </w:r>
            <w:r>
              <w:rPr>
                <w:rFonts w:ascii="仿宋_GB2312" w:eastAsia="仿宋_GB2312" w:cs="DejaVuSans"/>
                <w:color w:val="000000"/>
                <w:kern w:val="0"/>
                <w:sz w:val="24"/>
                <w:szCs w:val="24"/>
              </w:rPr>
              <w:t>支持投票投屏功能、评分投屏功能</w:t>
            </w:r>
            <w:r>
              <w:rPr>
                <w:rFonts w:hint="eastAsia" w:ascii="仿宋_GB2312" w:eastAsia="仿宋_GB2312" w:cs="DejaVuSans"/>
                <w:color w:val="000000"/>
                <w:kern w:val="0"/>
                <w:sz w:val="24"/>
                <w:szCs w:val="24"/>
              </w:rPr>
              <w:t>。</w:t>
            </w:r>
          </w:p>
        </w:tc>
        <w:tc>
          <w:tcPr>
            <w:tcW w:w="1675"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p>
        </w:tc>
        <w:tc>
          <w:tcPr>
            <w:tcW w:w="867"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1412"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000000"/>
                <w:kern w:val="0"/>
                <w:sz w:val="24"/>
                <w:szCs w:val="24"/>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textAlignment w:val="auto"/>
              <w:rPr>
                <w:rFonts w:ascii="仿宋_GB2312" w:eastAsia="仿宋_GB2312" w:cs="DejaVuSans"/>
                <w:b/>
                <w:bCs/>
                <w:color w:val="000000"/>
                <w:kern w:val="0"/>
                <w:sz w:val="24"/>
                <w:szCs w:val="24"/>
              </w:rPr>
            </w:pPr>
            <w:r>
              <w:rPr>
                <w:rFonts w:hint="eastAsia" w:ascii="仿宋_GB2312" w:eastAsia="仿宋_GB2312" w:cs="DejaVuSans"/>
                <w:b/>
                <w:bCs/>
                <w:color w:val="000000"/>
                <w:kern w:val="0"/>
                <w:sz w:val="24"/>
                <w:szCs w:val="24"/>
              </w:rPr>
              <w:t>3.无纸化升降器（含配套软件）</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（1）升降器采用触控超薄高清显示屏与升降器一体化设计，一键操作即自动化完成启动、液晶屏上升、仰角动作，升/降时间≤28S。</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（2）采用钢丝与高精密度的导轨和直线轴承配合，交流减速电机做驱动动力,将噪音降到最低。</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（3）支持≥1路HDMI、≥1路VGA视频信号输入。</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（4）升降器具备≥1路环通输出电源插座，给终端供电减少终端电源插座布线。</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（5）桌面面板具备≥1路USB接口，支持连接U盘可进行浏览文件或上传文件操作。</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r>
              <w:rPr>
                <w:rFonts w:hint="eastAsia" w:ascii="仿宋_GB2312" w:eastAsia="仿宋_GB2312" w:cs="DejaVuSans"/>
                <w:color w:val="000000"/>
                <w:kern w:val="0"/>
                <w:sz w:val="24"/>
                <w:szCs w:val="24"/>
              </w:rPr>
              <w:t>（6）支持多种分辨率适配，可适应各种终端界面。</w:t>
            </w:r>
          </w:p>
        </w:tc>
        <w:tc>
          <w:tcPr>
            <w:tcW w:w="1675"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p>
        </w:tc>
        <w:tc>
          <w:tcPr>
            <w:tcW w:w="867"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7" w:hRule="atLeast"/>
        </w:trPr>
        <w:tc>
          <w:tcPr>
            <w:tcW w:w="1412"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000000"/>
                <w:kern w:val="0"/>
                <w:sz w:val="24"/>
                <w:szCs w:val="24"/>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textAlignment w:val="auto"/>
              <w:rPr>
                <w:rFonts w:ascii="仿宋_GB2312" w:eastAsia="仿宋_GB2312" w:cs="DejaVuSans"/>
                <w:b/>
                <w:bCs/>
                <w:color w:val="000000"/>
                <w:kern w:val="0"/>
                <w:sz w:val="24"/>
                <w:szCs w:val="24"/>
              </w:rPr>
            </w:pPr>
            <w:r>
              <w:rPr>
                <w:rFonts w:hint="eastAsia" w:ascii="仿宋_GB2312" w:eastAsia="仿宋_GB2312" w:cs="DejaVuSans"/>
                <w:b/>
                <w:bCs/>
                <w:color w:val="000000"/>
                <w:kern w:val="0"/>
                <w:sz w:val="24"/>
                <w:szCs w:val="24"/>
              </w:rPr>
              <w:t>4.无纸化会议终端（含配套软件）</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1）多媒体会议终端主机搭配终端内嵌软件负责处理会议过程的文件推送、文件分发、浏览阅读、文件批注、智能签到、投票表决、电子白板、电子铭牌、会议交流、会议服务、视频信号互联互通、会议管控、同屏广播应用等。</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（2）可对多种文件格式进行阅览，参会人只可看到有权限的文件。</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（3）支持会前、会中上传资料，查看资料（保密会议会前不能查看），支持会后下载参加过的会议的资料。</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（4）具有≥4×USB、≥1×HDMI、≥1×VGA、≥1×LAN、≥1×MIC-IN端口、≥1×LINE-OUT端口、≥1×DC端口、≥1×COM端口。</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（5）采用CPU配置≥四核，采用内存配置≥4G，采用硬盘容量≥128GB 固态硬盘，具有≥1×千兆网络接口（RJ45）</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（6）具有切换客户端会议布局模式功能，能够根据用户的需求切换≥4种不同布局方式。</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（7）支持H5网页展示，可会前、会中上传资料，查看资料，支持会后查看参加过的历史会议的资料及批注文件，保密会议会前会后需申请权限才能查看会议资料。</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000000"/>
                <w:kern w:val="0"/>
                <w:sz w:val="24"/>
                <w:szCs w:val="24"/>
              </w:rPr>
            </w:pPr>
            <w:r>
              <w:rPr>
                <w:rFonts w:hint="eastAsia" w:ascii="仿宋_GB2312" w:eastAsia="仿宋_GB2312" w:cs="DejaVuSans"/>
                <w:color w:val="000000"/>
                <w:kern w:val="0"/>
                <w:sz w:val="24"/>
                <w:szCs w:val="24"/>
              </w:rPr>
              <w:t>（8）支持个人微终端功能，参会人通过手机app查阅未开始、进行中和已结束的会议资料，包含会议信息、参会名单、会议议题、临时资料、会议纪要。</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r>
              <w:rPr>
                <w:rFonts w:hint="eastAsia" w:ascii="仿宋_GB2312" w:eastAsia="仿宋_GB2312" w:cs="DejaVuSans"/>
                <w:color w:val="000000"/>
                <w:kern w:val="0"/>
                <w:sz w:val="24"/>
                <w:szCs w:val="24"/>
              </w:rPr>
              <w:t>（9）具有扫码文件带走功能，会议资料生成二维码功能，可根据会议属性，控制显示二维码投屏，供参会人浏览器扫码下载会议资料。</w:t>
            </w:r>
          </w:p>
        </w:tc>
        <w:tc>
          <w:tcPr>
            <w:tcW w:w="1675"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p>
        </w:tc>
        <w:tc>
          <w:tcPr>
            <w:tcW w:w="867"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412"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000000"/>
                <w:kern w:val="0"/>
                <w:sz w:val="24"/>
                <w:szCs w:val="24"/>
              </w:rPr>
            </w:pPr>
          </w:p>
        </w:tc>
        <w:tc>
          <w:tcPr>
            <w:tcW w:w="4991" w:type="dxa"/>
          </w:tcPr>
          <w:p>
            <w:pPr>
              <w:keepNext w:val="0"/>
              <w:keepLines w:val="0"/>
              <w:pageBreakBefore w:val="0"/>
              <w:widowControl w:val="0"/>
              <w:kinsoku/>
              <w:wordWrap/>
              <w:overflowPunct/>
              <w:topLinePunct w:val="0"/>
              <w:bidi w:val="0"/>
              <w:snapToGrid/>
              <w:spacing w:line="360" w:lineRule="exact"/>
              <w:ind w:firstLine="482" w:firstLineChars="200"/>
              <w:textAlignment w:val="auto"/>
              <w:rPr>
                <w:rFonts w:ascii="仿宋_GB2312" w:eastAsia="仿宋_GB2312" w:cs="DejaVuSans"/>
                <w:color w:val="000000"/>
                <w:kern w:val="0"/>
                <w:sz w:val="24"/>
                <w:szCs w:val="24"/>
              </w:rPr>
            </w:pPr>
            <w:r>
              <w:rPr>
                <w:rFonts w:hint="eastAsia" w:ascii="仿宋_GB2312" w:eastAsia="仿宋_GB2312" w:cs="DejaVuSans"/>
                <w:b/>
                <w:bCs/>
                <w:color w:val="000000"/>
                <w:kern w:val="0"/>
                <w:sz w:val="24"/>
                <w:szCs w:val="24"/>
              </w:rPr>
              <w:t>5.会议桌</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r>
              <w:rPr>
                <w:rFonts w:hint="eastAsia" w:ascii="仿宋_GB2312" w:eastAsia="仿宋_GB2312" w:cs="DejaVuSans"/>
                <w:color w:val="000000"/>
                <w:kern w:val="0"/>
                <w:sz w:val="24"/>
                <w:szCs w:val="24"/>
              </w:rPr>
              <w:t>采用木皮饰面，经过防虫防腐处理，耐磨性好，纹理清晰自然，色泽一致,接口自然平整。颜色与现有装修风格搭配定制，前期台面预留安装升降一体机孔位10人位，尺寸根据客户端尺寸定制。会议桌最大可同时容纳14人开会，尺寸长≥4000mm，宽≥1800mm，高≥760mm。</w:t>
            </w:r>
          </w:p>
        </w:tc>
        <w:tc>
          <w:tcPr>
            <w:tcW w:w="1675"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p>
        </w:tc>
        <w:tc>
          <w:tcPr>
            <w:tcW w:w="867"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7" w:hRule="atLeast"/>
        </w:trPr>
        <w:tc>
          <w:tcPr>
            <w:tcW w:w="1412"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000000"/>
                <w:kern w:val="0"/>
                <w:sz w:val="24"/>
                <w:szCs w:val="24"/>
              </w:rPr>
            </w:pPr>
          </w:p>
        </w:tc>
        <w:tc>
          <w:tcPr>
            <w:tcW w:w="4991" w:type="dxa"/>
          </w:tcPr>
          <w:p>
            <w:pPr>
              <w:keepNext w:val="0"/>
              <w:keepLines w:val="0"/>
              <w:pageBreakBefore w:val="0"/>
              <w:widowControl w:val="0"/>
              <w:kinsoku/>
              <w:wordWrap/>
              <w:overflowPunct/>
              <w:topLinePunct w:val="0"/>
              <w:bidi w:val="0"/>
              <w:snapToGrid/>
              <w:spacing w:line="360" w:lineRule="exact"/>
              <w:ind w:firstLine="482" w:firstLineChars="200"/>
              <w:textAlignment w:val="auto"/>
              <w:rPr>
                <w:rFonts w:ascii="仿宋_GB2312" w:eastAsia="仿宋_GB2312" w:cs="DejaVuSans"/>
                <w:b/>
                <w:bCs/>
                <w:color w:val="000000"/>
                <w:kern w:val="0"/>
                <w:sz w:val="24"/>
                <w:szCs w:val="24"/>
              </w:rPr>
            </w:pPr>
            <w:r>
              <w:rPr>
                <w:rFonts w:hint="eastAsia" w:ascii="仿宋_GB2312" w:eastAsia="仿宋_GB2312" w:cs="DejaVuSans"/>
                <w:b/>
                <w:bCs/>
                <w:color w:val="000000"/>
                <w:kern w:val="0"/>
                <w:sz w:val="24"/>
                <w:szCs w:val="24"/>
              </w:rPr>
              <w:t>6.旁听条桌</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r>
              <w:rPr>
                <w:rFonts w:hint="eastAsia" w:ascii="仿宋_GB2312" w:eastAsia="仿宋_GB2312" w:cs="DejaVuSans"/>
                <w:color w:val="000000"/>
                <w:kern w:val="0"/>
                <w:sz w:val="24"/>
                <w:szCs w:val="24"/>
              </w:rPr>
              <w:t>采用木皮饰面，经过防虫防腐处理，耐磨性好，纹理清晰自然，色泽一致,接口自然平整。颜色与现有装修风格搭配定制，尺寸长≥1200mm，宽≥450mm，高≥760mm。</w:t>
            </w:r>
          </w:p>
        </w:tc>
        <w:tc>
          <w:tcPr>
            <w:tcW w:w="1675"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p>
        </w:tc>
        <w:tc>
          <w:tcPr>
            <w:tcW w:w="867"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412"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000000"/>
                <w:kern w:val="0"/>
                <w:sz w:val="24"/>
                <w:szCs w:val="24"/>
              </w:rPr>
            </w:pPr>
          </w:p>
        </w:tc>
        <w:tc>
          <w:tcPr>
            <w:tcW w:w="4991" w:type="dxa"/>
          </w:tcPr>
          <w:p>
            <w:pPr>
              <w:keepNext w:val="0"/>
              <w:keepLines w:val="0"/>
              <w:pageBreakBefore w:val="0"/>
              <w:widowControl w:val="0"/>
              <w:kinsoku/>
              <w:wordWrap/>
              <w:overflowPunct/>
              <w:topLinePunct w:val="0"/>
              <w:bidi w:val="0"/>
              <w:snapToGrid/>
              <w:spacing w:line="360" w:lineRule="exact"/>
              <w:ind w:firstLine="482" w:firstLineChars="200"/>
              <w:textAlignment w:val="auto"/>
              <w:rPr>
                <w:rFonts w:ascii="仿宋_GB2312" w:eastAsia="仿宋_GB2312" w:cs="DejaVuSans"/>
                <w:b/>
                <w:bCs/>
                <w:color w:val="000000"/>
                <w:kern w:val="0"/>
                <w:sz w:val="24"/>
                <w:szCs w:val="24"/>
              </w:rPr>
            </w:pPr>
            <w:r>
              <w:rPr>
                <w:rFonts w:hint="eastAsia" w:ascii="仿宋_GB2312" w:eastAsia="仿宋_GB2312" w:cs="DejaVuSans"/>
                <w:b/>
                <w:bCs/>
                <w:color w:val="000000"/>
                <w:kern w:val="0"/>
                <w:sz w:val="24"/>
                <w:szCs w:val="24"/>
              </w:rPr>
              <w:t>7.会议座椅</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r>
              <w:rPr>
                <w:rFonts w:hint="eastAsia" w:ascii="仿宋_GB2312" w:eastAsia="仿宋_GB2312" w:cs="DejaVuSans"/>
                <w:color w:val="000000"/>
                <w:kern w:val="0"/>
                <w:sz w:val="24"/>
                <w:szCs w:val="24"/>
              </w:rPr>
              <w:t>耐磨耐光，采用定型绵等。</w:t>
            </w:r>
          </w:p>
        </w:tc>
        <w:tc>
          <w:tcPr>
            <w:tcW w:w="1675"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p>
        </w:tc>
        <w:tc>
          <w:tcPr>
            <w:tcW w:w="867"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412"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（三）高清视频输出系统</w:t>
            </w:r>
          </w:p>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sz w:val="24"/>
                <w:szCs w:val="24"/>
                <w:vertAlign w:val="baseline"/>
                <w:lang w:val="en-US" w:eastAsia="zh-CN"/>
              </w:rPr>
            </w:pPr>
          </w:p>
        </w:tc>
        <w:tc>
          <w:tcPr>
            <w:tcW w:w="4991" w:type="dxa"/>
          </w:tcPr>
          <w:p>
            <w:pPr>
              <w:keepNext w:val="0"/>
              <w:keepLines w:val="0"/>
              <w:pageBreakBefore w:val="0"/>
              <w:widowControl w:val="0"/>
              <w:kinsoku/>
              <w:wordWrap/>
              <w:overflowPunct/>
              <w:topLinePunct w:val="0"/>
              <w:bidi w:val="0"/>
              <w:snapToGrid/>
              <w:spacing w:line="360" w:lineRule="exact"/>
              <w:ind w:firstLine="482" w:firstLineChars="200"/>
              <w:textAlignment w:val="auto"/>
              <w:rPr>
                <w:rFonts w:ascii="仿宋_GB2312" w:eastAsia="仿宋_GB2312" w:cs="DejaVuSans"/>
                <w:b/>
                <w:bCs/>
                <w:color w:val="000000"/>
                <w:kern w:val="0"/>
                <w:sz w:val="24"/>
                <w:szCs w:val="24"/>
              </w:rPr>
            </w:pPr>
            <w:r>
              <w:rPr>
                <w:rFonts w:hint="eastAsia" w:ascii="仿宋_GB2312" w:eastAsia="仿宋_GB2312" w:cs="DejaVuSans"/>
                <w:b/>
                <w:bCs/>
                <w:color w:val="000000"/>
                <w:kern w:val="0"/>
                <w:sz w:val="24"/>
                <w:szCs w:val="24"/>
              </w:rPr>
              <w:t>1.超高清视频切换器</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hAnsi="等线" w:eastAsia="仿宋_GB2312" w:cs="Times New Roman"/>
                <w:sz w:val="24"/>
                <w:szCs w:val="24"/>
                <w:vertAlign w:val="baseline"/>
                <w:lang w:val="en-US" w:eastAsia="zh-CN"/>
              </w:rPr>
            </w:pPr>
            <w:r>
              <w:rPr>
                <w:rFonts w:hint="eastAsia" w:ascii="仿宋_GB2312" w:eastAsia="仿宋_GB2312" w:cs="DejaVuSans"/>
                <w:color w:val="000000"/>
                <w:kern w:val="0"/>
                <w:sz w:val="24"/>
                <w:szCs w:val="24"/>
              </w:rPr>
              <w:t>保障会议不同信号源之间快速切换，确保会议内容无缝展示。</w:t>
            </w:r>
          </w:p>
        </w:tc>
        <w:tc>
          <w:tcPr>
            <w:tcW w:w="1675" w:type="dxa"/>
            <w:vMerge w:val="restart"/>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c>
          <w:tcPr>
            <w:tcW w:w="867" w:type="dxa"/>
            <w:vMerge w:val="restart"/>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412" w:type="dxa"/>
            <w:vMerge w:val="continue"/>
          </w:tcPr>
          <w:p>
            <w:pPr>
              <w:keepNext w:val="0"/>
              <w:keepLines w:val="0"/>
              <w:pageBreakBefore w:val="0"/>
              <w:widowControl w:val="0"/>
              <w:kinsoku/>
              <w:wordWrap/>
              <w:overflowPunct/>
              <w:topLinePunct w:val="0"/>
              <w:bidi w:val="0"/>
              <w:snapToGrid/>
              <w:spacing w:line="360" w:lineRule="exact"/>
              <w:ind w:firstLine="420" w:firstLineChars="200"/>
              <w:textAlignment w:val="auto"/>
            </w:pPr>
          </w:p>
        </w:tc>
        <w:tc>
          <w:tcPr>
            <w:tcW w:w="4991" w:type="dxa"/>
          </w:tcPr>
          <w:p>
            <w:pPr>
              <w:keepNext w:val="0"/>
              <w:keepLines w:val="0"/>
              <w:pageBreakBefore w:val="0"/>
              <w:widowControl w:val="0"/>
              <w:kinsoku/>
              <w:wordWrap/>
              <w:overflowPunct/>
              <w:topLinePunct w:val="0"/>
              <w:bidi w:val="0"/>
              <w:snapToGrid/>
              <w:spacing w:line="360" w:lineRule="exact"/>
              <w:ind w:firstLine="482" w:firstLineChars="200"/>
              <w:textAlignment w:val="auto"/>
              <w:rPr>
                <w:rFonts w:hint="eastAsia" w:ascii="仿宋_GB2312" w:eastAsia="仿宋_GB2312" w:cs="DejaVuSans"/>
                <w:b/>
                <w:bCs/>
                <w:color w:val="000000"/>
                <w:kern w:val="0"/>
                <w:sz w:val="24"/>
                <w:szCs w:val="24"/>
              </w:rPr>
            </w:pPr>
            <w:r>
              <w:rPr>
                <w:rFonts w:hint="eastAsia" w:ascii="仿宋_GB2312" w:eastAsia="仿宋_GB2312" w:cs="DejaVuSans"/>
                <w:b/>
                <w:bCs/>
                <w:color w:val="000000"/>
                <w:kern w:val="0"/>
                <w:sz w:val="24"/>
                <w:szCs w:val="24"/>
              </w:rPr>
              <w:t>2.多媒体插座</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color w:val="000000"/>
                <w:kern w:val="0"/>
                <w:sz w:val="24"/>
                <w:szCs w:val="24"/>
              </w:rPr>
            </w:pPr>
            <w:r>
              <w:rPr>
                <w:rFonts w:hint="eastAsia" w:ascii="仿宋_GB2312" w:eastAsia="仿宋_GB2312" w:cs="DejaVuSans"/>
                <w:color w:val="000000"/>
                <w:kern w:val="0"/>
                <w:sz w:val="24"/>
                <w:szCs w:val="24"/>
              </w:rPr>
              <w:t>集成网络口，音视频接口和电源口等接口，为各类会议终端提供一站式连接。</w:t>
            </w:r>
          </w:p>
        </w:tc>
        <w:tc>
          <w:tcPr>
            <w:tcW w:w="1675" w:type="dxa"/>
            <w:vMerge w:val="continue"/>
          </w:tcPr>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color w:val="000000"/>
                <w:kern w:val="0"/>
                <w:sz w:val="24"/>
                <w:szCs w:val="24"/>
              </w:rPr>
            </w:pPr>
          </w:p>
        </w:tc>
        <w:tc>
          <w:tcPr>
            <w:tcW w:w="867" w:type="dxa"/>
            <w:vMerge w:val="continue"/>
          </w:tcPr>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（四）会议室维修改造</w:t>
            </w:r>
          </w:p>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等线" w:eastAsia="仿宋_GB2312" w:cs="Times New Roman"/>
                <w:sz w:val="24"/>
                <w:szCs w:val="24"/>
                <w:vertAlign w:val="baseline"/>
                <w:lang w:val="en-US" w:eastAsia="zh-CN"/>
              </w:rPr>
            </w:pPr>
            <w:r>
              <w:rPr>
                <w:rFonts w:hint="eastAsia" w:ascii="仿宋_GB2312" w:hAnsi="Times New Roman" w:eastAsia="仿宋_GB2312" w:cs="DejaVuSans"/>
                <w:color w:val="000000"/>
                <w:kern w:val="0"/>
                <w:sz w:val="24"/>
                <w:szCs w:val="24"/>
              </w:rPr>
              <w:t>根据会议室实际情况进行相应的维修和改造，包括使用强化复合地板（环保E1防水耐磨）进行木地板更换；地面强弱电敷设，包括线路敷设、开槽、修补等；对整体墙面和吊顶等进行粉刷维修更新。维修改造过程中，需采取必要的保护措施，确保会议室其他设施设备安全。</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hint="eastAsia"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（五）辅助材料</w:t>
            </w:r>
          </w:p>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Times New Roman" w:eastAsia="仿宋_GB2312" w:cs="DejaVuSans"/>
                <w:color w:val="000000"/>
                <w:kern w:val="0"/>
                <w:sz w:val="24"/>
                <w:szCs w:val="24"/>
              </w:rPr>
            </w:pPr>
            <w:r>
              <w:rPr>
                <w:rFonts w:hint="eastAsia" w:ascii="仿宋_GB2312" w:hAnsi="Times New Roman" w:eastAsia="仿宋_GB2312" w:cs="DejaVuSans"/>
                <w:color w:val="000000"/>
                <w:kern w:val="0"/>
                <w:sz w:val="24"/>
                <w:szCs w:val="24"/>
              </w:rPr>
              <w:t>根据项目实施方案，相关辅材需确保项目正常实施，辅助材料包括机柜、各类音视频连接线、六类网线、电源线以及其他必备辅材等。</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黑体" w:hAnsi="黑体" w:eastAsia="黑体" w:cs="宋体"/>
                <w:color w:val="000000"/>
                <w:kern w:val="0"/>
                <w:sz w:val="24"/>
                <w:szCs w:val="24"/>
              </w:rPr>
            </w:pPr>
            <w:r>
              <w:rPr>
                <w:rFonts w:hint="eastAsia" w:ascii="黑体" w:hAnsi="黑体" w:eastAsia="黑体" w:cs="宋体"/>
                <w:color w:val="000000"/>
                <w:kern w:val="0"/>
                <w:sz w:val="24"/>
                <w:szCs w:val="24"/>
              </w:rPr>
              <w:t>四、</w:t>
            </w:r>
            <w:r>
              <w:rPr>
                <w:rFonts w:hint="eastAsia" w:ascii="黑体" w:hAnsi="黑体" w:eastAsia="黑体" w:cs="宋体"/>
                <w:color w:val="000000"/>
                <w:kern w:val="0"/>
                <w:sz w:val="24"/>
                <w:szCs w:val="24"/>
                <w:lang w:eastAsia="zh-CN"/>
              </w:rPr>
              <w:t>采购</w:t>
            </w:r>
            <w:r>
              <w:rPr>
                <w:rFonts w:hint="eastAsia" w:ascii="黑体" w:hAnsi="黑体" w:eastAsia="黑体" w:cs="宋体"/>
                <w:color w:val="000000"/>
                <w:kern w:val="0"/>
                <w:sz w:val="24"/>
                <w:szCs w:val="24"/>
              </w:rPr>
              <w:t>要求</w:t>
            </w:r>
          </w:p>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firstLine="528" w:firstLineChars="220"/>
              <w:textAlignment w:val="auto"/>
              <w:rPr>
                <w:rFonts w:hint="eastAsia" w:ascii="仿宋_GB2312" w:hAnsi="等线" w:eastAsia="仿宋_GB2312" w:cs="Times New Roman"/>
                <w:sz w:val="24"/>
                <w:szCs w:val="24"/>
                <w:vertAlign w:val="baseline"/>
                <w:lang w:val="en-US" w:eastAsia="zh-CN"/>
              </w:rPr>
            </w:pPr>
            <w:r>
              <w:rPr>
                <w:rFonts w:hint="eastAsia" w:ascii="仿宋_GB2312" w:eastAsia="仿宋_GB2312" w:cs="DejaVuSans"/>
                <w:color w:val="000000"/>
                <w:kern w:val="0"/>
                <w:sz w:val="24"/>
                <w:szCs w:val="24"/>
              </w:rPr>
              <w:t>1.交货时间：自合同签订日起30日内完成合同约定内容并投入运行。</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Merge w:val="continue"/>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firstLine="528" w:firstLineChars="220"/>
              <w:textAlignment w:val="auto"/>
              <w:rPr>
                <w:rFonts w:hint="eastAsia" w:ascii="仿宋_GB2312" w:hAnsi="等线" w:eastAsia="仿宋_GB2312" w:cs="Times New Roman"/>
                <w:sz w:val="24"/>
                <w:szCs w:val="24"/>
                <w:vertAlign w:val="baseline"/>
                <w:lang w:val="en-US" w:eastAsia="zh-CN"/>
              </w:rPr>
            </w:pPr>
            <w:r>
              <w:rPr>
                <w:rFonts w:hint="eastAsia" w:ascii="仿宋_GB2312" w:eastAsia="仿宋_GB2312" w:cs="宋体"/>
                <w:color w:val="000000"/>
                <w:kern w:val="0"/>
                <w:sz w:val="24"/>
                <w:szCs w:val="24"/>
              </w:rPr>
              <w:t>2.报价人应熟悉无纸化会议系统集成工作，能够针对本项目组建专门的实施团队，具备相关技术能力。须具有电子与智能化相关专业承包贰级或以上资质，负责本项目的项目经理应至少具有机电专业的二级建造师证书与智能化相关专业中级工程师，须提供人员近六个月的社保缴交证明及证书复印件并加盖报价人公章。</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Merge w:val="continue"/>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firstLine="528" w:firstLineChars="220"/>
              <w:textAlignment w:val="auto"/>
              <w:rPr>
                <w:rFonts w:hint="eastAsia" w:ascii="仿宋_GB2312" w:hAnsi="等线" w:eastAsia="仿宋_GB2312" w:cs="Times New Roman"/>
                <w:sz w:val="24"/>
                <w:szCs w:val="24"/>
                <w:vertAlign w:val="baseline"/>
                <w:lang w:val="en-US" w:eastAsia="zh-CN"/>
              </w:rPr>
            </w:pPr>
            <w:r>
              <w:rPr>
                <w:rFonts w:hint="eastAsia" w:ascii="仿宋_GB2312" w:eastAsia="仿宋_GB2312" w:cs="宋体"/>
                <w:color w:val="000000"/>
                <w:kern w:val="0"/>
                <w:sz w:val="24"/>
                <w:szCs w:val="24"/>
              </w:rPr>
              <w:t>3.报价人需提供近同类智能化音视频会议系统项目实施业绩（自2022年1月后的案例，需提供合同复印件和验收报告等材料证明）。</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Merge w:val="continue"/>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sz w:val="24"/>
                <w:szCs w:val="24"/>
                <w:vertAlign w:val="baseline"/>
                <w:lang w:val="en-US" w:eastAsia="zh-CN"/>
              </w:rPr>
            </w:pPr>
          </w:p>
        </w:tc>
        <w:tc>
          <w:tcPr>
            <w:tcW w:w="4991" w:type="dxa"/>
          </w:tcPr>
          <w:p>
            <w:pPr>
              <w:keepNext w:val="0"/>
              <w:keepLines w:val="0"/>
              <w:pageBreakBefore w:val="0"/>
              <w:widowControl w:val="0"/>
              <w:tabs>
                <w:tab w:val="left" w:pos="2800"/>
              </w:tabs>
              <w:kinsoku/>
              <w:wordWrap/>
              <w:overflowPunct/>
              <w:topLinePunct w:val="0"/>
              <w:bidi w:val="0"/>
              <w:snapToGrid/>
              <w:spacing w:line="360" w:lineRule="exact"/>
              <w:ind w:firstLine="480" w:firstLineChars="200"/>
              <w:textAlignment w:val="auto"/>
              <w:rPr>
                <w:rFonts w:hint="eastAsia" w:ascii="仿宋_GB2312" w:hAnsi="等线" w:eastAsia="仿宋_GB2312" w:cs="Times New Roman"/>
                <w:sz w:val="24"/>
                <w:szCs w:val="24"/>
                <w:vertAlign w:val="baseline"/>
                <w:lang w:val="en-US" w:eastAsia="zh-CN"/>
              </w:rPr>
            </w:pPr>
            <w:r>
              <w:rPr>
                <w:rFonts w:hint="eastAsia" w:ascii="仿宋_GB2312" w:eastAsia="仿宋_GB2312" w:cs="宋体"/>
                <w:color w:val="000000"/>
                <w:kern w:val="0"/>
                <w:sz w:val="24"/>
                <w:szCs w:val="24"/>
                <w:lang w:val="en-US" w:eastAsia="zh-CN"/>
              </w:rPr>
              <w:t>4.报价人需进行现场踏勘，现场踏勘后，根据采购人需求提供本项目的详细规划和实施方案以及布局示意图。</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Merge w:val="continue"/>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firstLine="528" w:firstLineChars="220"/>
              <w:textAlignment w:val="auto"/>
              <w:rPr>
                <w:rFonts w:hint="eastAsia" w:ascii="仿宋_GB2312" w:eastAsia="仿宋_GB2312" w:cs="宋体"/>
                <w:color w:val="000000"/>
                <w:kern w:val="0"/>
                <w:sz w:val="24"/>
                <w:szCs w:val="24"/>
                <w:lang w:val="en-US" w:eastAsia="zh-CN"/>
              </w:rPr>
            </w:pPr>
            <w:r>
              <w:rPr>
                <w:rFonts w:hint="eastAsia" w:ascii="仿宋_GB2312" w:eastAsia="仿宋_GB2312" w:cs="宋体"/>
                <w:color w:val="000000"/>
                <w:kern w:val="0"/>
                <w:sz w:val="24"/>
                <w:szCs w:val="24"/>
                <w:lang w:val="en-US" w:eastAsia="zh-CN"/>
              </w:rPr>
              <w:t>5.报价人根据现场踏勘情况，需充分了解本次项目需求及兼容要求，如出现因未充分了解项目需求或未充分了解现场环境等原因导致项目实施无法达到采购人需求的，导致工期延长的，采购人将追究报价人责任，并有权要求赔偿。</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Merge w:val="continue"/>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sz w:val="24"/>
                <w:szCs w:val="24"/>
                <w:vertAlign w:val="baseline"/>
                <w:lang w:val="en-US" w:eastAsia="zh-CN"/>
              </w:rPr>
            </w:pPr>
          </w:p>
        </w:tc>
        <w:tc>
          <w:tcPr>
            <w:tcW w:w="4991" w:type="dxa"/>
          </w:tcPr>
          <w:p>
            <w:pPr>
              <w:keepNext w:val="0"/>
              <w:keepLines w:val="0"/>
              <w:pageBreakBefore w:val="0"/>
              <w:widowControl w:val="0"/>
              <w:tabs>
                <w:tab w:val="left" w:pos="2800"/>
              </w:tabs>
              <w:kinsoku/>
              <w:wordWrap/>
              <w:overflowPunct/>
              <w:topLinePunct w:val="0"/>
              <w:bidi w:val="0"/>
              <w:snapToGrid/>
              <w:spacing w:line="360" w:lineRule="exact"/>
              <w:ind w:firstLine="480" w:firstLineChars="200"/>
              <w:textAlignment w:val="auto"/>
              <w:rPr>
                <w:rFonts w:hint="eastAsia" w:ascii="仿宋_GB2312" w:eastAsia="仿宋_GB2312" w:cs="宋体"/>
                <w:color w:val="000000"/>
                <w:kern w:val="0"/>
                <w:sz w:val="24"/>
                <w:szCs w:val="24"/>
                <w:lang w:val="en-US" w:eastAsia="zh-CN"/>
              </w:rPr>
            </w:pPr>
            <w:r>
              <w:rPr>
                <w:rFonts w:hint="eastAsia" w:ascii="仿宋_GB2312" w:eastAsia="仿宋_GB2312" w:cs="宋体"/>
                <w:color w:val="000000"/>
                <w:kern w:val="0"/>
                <w:sz w:val="24"/>
                <w:szCs w:val="24"/>
                <w:lang w:val="en-US" w:eastAsia="zh-CN"/>
              </w:rPr>
              <w:t>6.本项目质量保证期为竣工验收之日起壹年，包含免费原厂标准技术服务支撑及硬件保修，7×24小时热线电话服务，远程故障诊断、排除。在质保期内，如遇产品版本升级，报价人应及时免费为采购人提供版本升级服务。报价人需根据采购人要求免费提供技术服务和月度巡检。接到采购人服务请求后需立即响应，并在1小时内到达现场，4小时内修复。</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Merge w:val="continue"/>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仿宋_GB2312" w:eastAsia="仿宋_GB2312" w:cs="宋体"/>
                <w:color w:val="000000"/>
                <w:kern w:val="0"/>
                <w:sz w:val="24"/>
                <w:szCs w:val="24"/>
                <w:lang w:val="en-US" w:eastAsia="zh-CN"/>
              </w:rPr>
            </w:pPr>
            <w:r>
              <w:rPr>
                <w:rFonts w:hint="eastAsia" w:ascii="仿宋_GB2312" w:eastAsia="仿宋_GB2312" w:cs="宋体"/>
                <w:color w:val="000000"/>
                <w:kern w:val="0"/>
                <w:sz w:val="24"/>
                <w:szCs w:val="24"/>
                <w:lang w:val="en-US" w:eastAsia="zh-CN"/>
              </w:rPr>
              <w:t>7.报价人在项目实施过程中，应做好安全管理工作，确保项目实施安全（包括但不限于自身人员安全以及设备安全等），采购人不对报价人安全负责。报价人应加强与采购人联系沟通及汇报工作，发现问题及时上报。</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_GB2312" w:eastAsia="仿宋_GB2312"/>
                <w:sz w:val="24"/>
                <w:szCs w:val="24"/>
              </w:rPr>
            </w:pPr>
            <w:r>
              <w:rPr>
                <w:rFonts w:hint="eastAsia" w:ascii="黑体" w:hAnsi="黑体" w:eastAsia="黑体" w:cs="宋体"/>
                <w:kern w:val="0"/>
                <w:sz w:val="24"/>
                <w:szCs w:val="24"/>
              </w:rPr>
              <w:t>五、验收及付款方式</w:t>
            </w:r>
          </w:p>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仿宋_GB2312" w:eastAsia="仿宋_GB2312" w:cs="宋体"/>
                <w:color w:val="000000"/>
                <w:kern w:val="0"/>
                <w:sz w:val="24"/>
                <w:szCs w:val="24"/>
                <w:lang w:val="en-US" w:eastAsia="zh-CN"/>
              </w:rPr>
            </w:pPr>
            <w:r>
              <w:rPr>
                <w:rFonts w:hint="eastAsia" w:ascii="仿宋_GB2312" w:eastAsia="仿宋_GB2312"/>
                <w:sz w:val="24"/>
                <w:szCs w:val="24"/>
                <w:lang w:val="en-US" w:eastAsia="zh-CN"/>
              </w:rPr>
              <w:t>合同签订后，报价人开展相关设备采购等工作，在完成设施设备安装调试并签署到货验收报告后，开具合同金额100%的正式发票给采购人，本项目为财政支付项目，采购人须遵守财政支付规定，10个工作日内，支付50%合同款项。报价人完成合同约定的内容并经采购人竣工验收合格，在签署竣工验收报告后，10个工作日内，支付其余50%合同款项。</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sz w:val="24"/>
                <w:szCs w:val="24"/>
                <w:vertAlign w:val="baseline"/>
                <w:lang w:val="en-US" w:eastAsia="zh-CN"/>
              </w:rPr>
            </w:pPr>
          </w:p>
        </w:tc>
      </w:tr>
    </w:tbl>
    <w:p>
      <w:pPr>
        <w:tabs>
          <w:tab w:val="left" w:pos="2800"/>
        </w:tabs>
        <w:ind w:firstLine="640" w:firstLineChars="200"/>
        <w:rPr>
          <w:rFonts w:hint="eastAsia" w:ascii="仿宋_GB2312" w:hAnsi="等线" w:eastAsia="仿宋_GB2312" w:cs="Times New Roman"/>
          <w:sz w:val="32"/>
          <w:szCs w:val="32"/>
          <w:lang w:val="en-US" w:eastAsia="zh-CN"/>
        </w:rPr>
      </w:pPr>
    </w:p>
    <w:p>
      <w:pPr>
        <w:tabs>
          <w:tab w:val="left" w:pos="2800"/>
        </w:tabs>
        <w:ind w:firstLine="640" w:firstLineChars="200"/>
        <w:rPr>
          <w:rFonts w:hint="default"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 xml:space="preserve">（十）其他证明文件。   </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C84B7A-2B3B-4637-B584-AE16D77AA2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00000000" w:usb1="00000000" w:usb2="00000000" w:usb3="00000000" w:csb0="00000000" w:csb1="00000000"/>
    <w:embedRegular r:id="rId2" w:fontKey="{C8F135E9-951F-4ED0-BFEB-C7861C72E9AB}"/>
  </w:font>
  <w:font w:name="仿宋_GB2312">
    <w:panose1 w:val="02010609030101010101"/>
    <w:charset w:val="86"/>
    <w:family w:val="modern"/>
    <w:pitch w:val="default"/>
    <w:sig w:usb0="00000001" w:usb1="080E0000" w:usb2="00000000" w:usb3="00000000" w:csb0="00040000" w:csb1="00000000"/>
    <w:embedRegular r:id="rId3" w:fontKey="{46735FE2-458B-4154-A49A-772A76B59203}"/>
  </w:font>
  <w:font w:name="方正小标宋简体">
    <w:panose1 w:val="03000509000000000000"/>
    <w:charset w:val="86"/>
    <w:family w:val="script"/>
    <w:pitch w:val="default"/>
    <w:sig w:usb0="00000001" w:usb1="080E0000" w:usb2="00000000" w:usb3="00000000" w:csb0="00040000" w:csb1="00000000"/>
    <w:embedRegular r:id="rId4" w:fontKey="{18D1DC99-E4AB-43F7-A65C-477AA3AB7057}"/>
  </w:font>
  <w:font w:name="等线">
    <w:altName w:val="微软雅黑"/>
    <w:panose1 w:val="02010600030101010101"/>
    <w:charset w:val="86"/>
    <w:family w:val="auto"/>
    <w:pitch w:val="default"/>
    <w:sig w:usb0="00000000" w:usb1="00000000" w:usb2="00000000" w:usb3="00000000" w:csb0="00000000" w:csb1="00000000"/>
    <w:embedRegular r:id="rId5" w:fontKey="{CD1835CA-2145-49D5-8BC5-4F17839B8760}"/>
  </w:font>
  <w:font w:name="楷体_GB2312">
    <w:panose1 w:val="02010609030101010101"/>
    <w:charset w:val="86"/>
    <w:family w:val="auto"/>
    <w:pitch w:val="default"/>
    <w:sig w:usb0="00000001" w:usb1="080E0000" w:usb2="00000000" w:usb3="00000000" w:csb0="00040000" w:csb1="00000000"/>
    <w:embedRegular r:id="rId6" w:fontKey="{1CB68BC9-A75C-466C-B9DF-DED42E1C6AF7}"/>
  </w:font>
  <w:font w:name="DejaVuSans">
    <w:altName w:val="宋体"/>
    <w:panose1 w:val="00000000000000000000"/>
    <w:charset w:val="86"/>
    <w:family w:val="auto"/>
    <w:pitch w:val="default"/>
    <w:sig w:usb0="00000000" w:usb1="00000000" w:usb2="00000010" w:usb3="00000000" w:csb0="00040000" w:csb1="00000000"/>
    <w:embedRegular r:id="rId7" w:fontKey="{C8DDAC13-F653-4A1D-B016-D375F892CF38}"/>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E593"/>
    <w:multiLevelType w:val="multilevel"/>
    <w:tmpl w:val="121BE593"/>
    <w:lvl w:ilvl="0" w:tentative="0">
      <w:start w:val="1"/>
      <w:numFmt w:val="chineseCountingThousand"/>
      <w:lvlText w:val="%1、"/>
      <w:lvlJc w:val="left"/>
      <w:pPr>
        <w:tabs>
          <w:tab w:val="left" w:pos="1280"/>
        </w:tabs>
        <w:ind w:left="1280" w:hanging="640"/>
      </w:p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03549"/>
    <w:rsid w:val="0D6D792D"/>
    <w:rsid w:val="2224018F"/>
    <w:rsid w:val="30981387"/>
    <w:rsid w:val="4A9A1C7D"/>
    <w:rsid w:val="59303549"/>
    <w:rsid w:val="5CE7570D"/>
    <w:rsid w:val="66A23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2225</Words>
  <Characters>2388</Characters>
  <Lines>0</Lines>
  <Paragraphs>0</Paragraphs>
  <TotalTime>128</TotalTime>
  <ScaleCrop>false</ScaleCrop>
  <LinksUpToDate>false</LinksUpToDate>
  <CharactersWithSpaces>2452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2025-04-16T02:45:00Z</dcterms:created>
  <dc:creator>卢建锋3</dc:creator>
  <cp:lastModifiedBy>LuJF</cp:lastModifiedBy>
  <dcterms:modified xsi:type="dcterms:W3CDTF">2025-06-27T03:42:45Z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eyJoZGlkIjoiOTY2YjU3Njg1N2U0ZTIxZDQ3Nzk2ZTBiYzBiNWNmZWQiLCJ1c2VySWQiOiI0ODg4ODkyNjkifQ==</vt:lpwstr>
  </property>
  <property fmtid="{D5CDD505-2E9C-101B-9397-08002B2CF9AE}" pid="4" name="ICV">
    <vt:lpwstr>F9015BF2DA4B4A9AB9B6011F81ADA408_13</vt:lpwstr>
  </property>
</Properties>
</file>