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9A06">
      <w:pPr>
        <w:pStyle w:val="2"/>
        <w:wordWrap w:val="0"/>
        <w:spacing w:before="0" w:after="0" w:line="360" w:lineRule="auto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附件2：</w:t>
      </w:r>
    </w:p>
    <w:p w14:paraId="3E86F008">
      <w:pPr>
        <w:pStyle w:val="2"/>
        <w:wordWrap w:val="0"/>
        <w:spacing w:before="0" w:after="0" w:line="360" w:lineRule="auto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sz w:val="36"/>
        </w:rPr>
        <w:t>2025年</w:t>
      </w:r>
      <w:r>
        <w:rPr>
          <w:rFonts w:hint="eastAsia" w:ascii="宋体" w:hAnsi="宋体" w:eastAsia="宋体" w:cs="宋体"/>
          <w:color w:val="000000"/>
          <w:sz w:val="36"/>
          <w:lang w:eastAsia="zh-CN"/>
        </w:rPr>
        <w:t>莆田</w:t>
      </w:r>
      <w:r>
        <w:rPr>
          <w:rFonts w:hint="eastAsia" w:ascii="宋体" w:hAnsi="宋体" w:eastAsia="宋体" w:cs="宋体"/>
          <w:color w:val="000000"/>
          <w:sz w:val="36"/>
        </w:rPr>
        <w:t>市无线电技术设备维修服务项目</w:t>
      </w:r>
    </w:p>
    <w:p w14:paraId="27F068AE">
      <w:pPr>
        <w:pStyle w:val="2"/>
        <w:wordWrap w:val="0"/>
        <w:spacing w:before="0" w:after="0" w:line="360" w:lineRule="auto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技术和服务要求</w:t>
      </w:r>
    </w:p>
    <w:p w14:paraId="59DD09E4">
      <w:pPr>
        <w:pStyle w:val="3"/>
        <w:wordWrap w:val="0"/>
        <w:spacing w:beforeAutospacing="0" w:afterAutospacing="0" w:line="360" w:lineRule="auto"/>
        <w:rPr>
          <w:rStyle w:val="6"/>
          <w:rFonts w:hint="eastAsia" w:ascii="宋体" w:hAnsi="宋体" w:eastAsia="宋体" w:cs="宋体"/>
        </w:rPr>
      </w:pPr>
    </w:p>
    <w:p w14:paraId="7752F627">
      <w:pPr>
        <w:pStyle w:val="3"/>
        <w:wordWrap w:val="0"/>
        <w:spacing w:beforeAutospacing="0" w:afterAutospacing="0" w:line="360" w:lineRule="auto"/>
        <w:rPr>
          <w:rStyle w:val="6"/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</w:rPr>
        <w:t>一、项目概况</w:t>
      </w:r>
    </w:p>
    <w:p w14:paraId="49511338">
      <w:pPr>
        <w:pStyle w:val="3"/>
        <w:wordWrap w:val="0"/>
        <w:spacing w:beforeAutospacing="0" w:afterAutospacing="0" w:line="360" w:lineRule="auto"/>
        <w:ind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lang w:eastAsia="zh-CN"/>
        </w:rPr>
        <w:t>莆田</w:t>
      </w:r>
      <w:r>
        <w:rPr>
          <w:rFonts w:hint="eastAsia" w:ascii="宋体" w:hAnsi="宋体" w:eastAsia="宋体" w:cs="宋体"/>
        </w:rPr>
        <w:t>市无线电管理局在日常监测中发现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台</w:t>
      </w:r>
      <w:r>
        <w:rPr>
          <w:rFonts w:hint="eastAsia" w:ascii="宋体" w:hAnsi="宋体" w:eastAsia="宋体" w:cs="宋体"/>
          <w:lang w:val="en-US" w:eastAsia="zh-CN"/>
        </w:rPr>
        <w:t>EB500</w:t>
      </w:r>
      <w:r>
        <w:rPr>
          <w:rFonts w:hint="eastAsia" w:ascii="宋体" w:hAnsi="宋体" w:eastAsia="宋体" w:cs="宋体"/>
        </w:rPr>
        <w:t>监测</w:t>
      </w:r>
      <w:r>
        <w:rPr>
          <w:rFonts w:hint="eastAsia" w:ascii="宋体" w:hAnsi="宋体" w:eastAsia="宋体" w:cs="宋体"/>
          <w:lang w:eastAsia="zh-CN"/>
        </w:rPr>
        <w:t>接收机</w:t>
      </w:r>
      <w:r>
        <w:rPr>
          <w:rFonts w:hint="eastAsia" w:ascii="宋体" w:hAnsi="宋体" w:cs="宋体"/>
          <w:lang w:eastAsia="zh-CN"/>
        </w:rPr>
        <w:t>存在故障</w:t>
      </w:r>
      <w:r>
        <w:rPr>
          <w:rFonts w:hint="eastAsia" w:ascii="宋体" w:hAnsi="宋体" w:eastAsia="宋体" w:cs="宋体"/>
        </w:rPr>
        <w:t>，为更有效地保障</w:t>
      </w:r>
      <w:r>
        <w:rPr>
          <w:rFonts w:hint="eastAsia" w:ascii="宋体" w:hAnsi="宋体" w:cs="宋体"/>
          <w:lang w:eastAsia="zh-CN"/>
        </w:rPr>
        <w:t>莆田</w:t>
      </w:r>
      <w:r>
        <w:rPr>
          <w:rFonts w:hint="eastAsia" w:ascii="宋体" w:hAnsi="宋体" w:eastAsia="宋体" w:cs="宋体"/>
        </w:rPr>
        <w:t>地区</w:t>
      </w:r>
      <w:r>
        <w:rPr>
          <w:rFonts w:hint="eastAsia" w:ascii="宋体" w:hAnsi="宋体" w:eastAsia="宋体" w:cs="宋体"/>
          <w:lang w:eastAsia="zh-CN"/>
        </w:rPr>
        <w:t>的</w:t>
      </w:r>
      <w:r>
        <w:rPr>
          <w:rFonts w:hint="eastAsia" w:ascii="宋体" w:hAnsi="宋体" w:eastAsia="宋体" w:cs="宋体"/>
        </w:rPr>
        <w:t>监测技术能力，现拟对</w:t>
      </w:r>
      <w:r>
        <w:rPr>
          <w:rFonts w:hint="eastAsia" w:ascii="宋体" w:hAnsi="宋体" w:cs="宋体"/>
          <w:lang w:eastAsia="zh-CN"/>
        </w:rPr>
        <w:t>其</w:t>
      </w:r>
      <w:r>
        <w:rPr>
          <w:rFonts w:hint="eastAsia" w:ascii="宋体" w:hAnsi="宋体" w:eastAsia="宋体" w:cs="宋体"/>
        </w:rPr>
        <w:t>进行维修，使其恢复正常工作状态，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承担设备故障维修、第三方检测、安装调试、售后保修、运输包装等工作。具体故障情况可参见技术服务要求中的服务列表。</w:t>
      </w:r>
    </w:p>
    <w:p w14:paraId="214887EF">
      <w:pPr>
        <w:pStyle w:val="3"/>
        <w:wordWrap w:val="0"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kern w:val="2"/>
          <w:szCs w:val="22"/>
        </w:rPr>
      </w:pPr>
      <w:r>
        <w:rPr>
          <w:rFonts w:hint="eastAsia" w:ascii="宋体" w:hAnsi="宋体" w:eastAsia="宋体" w:cs="宋体"/>
          <w:b/>
          <w:bCs/>
          <w:kern w:val="2"/>
          <w:szCs w:val="22"/>
        </w:rPr>
        <w:t>二、技术和服务要求</w:t>
      </w:r>
    </w:p>
    <w:p w14:paraId="3B5086B1">
      <w:pPr>
        <w:pStyle w:val="3"/>
        <w:wordWrap w:val="0"/>
        <w:spacing w:beforeAutospacing="0" w:afterAutospacing="0" w:line="360" w:lineRule="auto"/>
        <w:jc w:val="both"/>
        <w:rPr>
          <w:rFonts w:hint="eastAsia" w:ascii="宋体" w:hAnsi="宋体" w:eastAsia="宋体" w:cs="宋体"/>
          <w:b/>
          <w:bCs/>
          <w:kern w:val="2"/>
          <w:szCs w:val="22"/>
        </w:rPr>
      </w:pPr>
      <w:r>
        <w:rPr>
          <w:rFonts w:hint="eastAsia" w:ascii="宋体" w:hAnsi="宋体" w:eastAsia="宋体" w:cs="宋体"/>
          <w:b/>
          <w:bCs/>
          <w:kern w:val="2"/>
          <w:szCs w:val="22"/>
        </w:rPr>
        <w:t>1、总体要求</w:t>
      </w:r>
    </w:p>
    <w:p w14:paraId="0E7E341D">
      <w:pPr>
        <w:pStyle w:val="3"/>
        <w:wordWrap w:val="0"/>
        <w:spacing w:beforeAutospacing="0" w:afterAutospacing="0" w:line="360" w:lineRule="auto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</w:rPr>
        <w:t>对出现故障的</w:t>
      </w:r>
      <w:r>
        <w:rPr>
          <w:rFonts w:hint="eastAsia" w:ascii="宋体" w:hAnsi="宋体" w:eastAsia="宋体" w:cs="宋体"/>
          <w:color w:val="000000"/>
        </w:rPr>
        <w:t>EB500监测接收机</w:t>
      </w:r>
      <w:r>
        <w:rPr>
          <w:rFonts w:hint="eastAsia" w:ascii="宋体" w:hAnsi="宋体" w:eastAsia="宋体" w:cs="宋体"/>
          <w:sz w:val="24"/>
        </w:rPr>
        <w:t>进行检查和维修，使其能恢复至正常工作状态。故障维修内容主要包括：</w:t>
      </w:r>
      <w:r>
        <w:rPr>
          <w:rFonts w:hint="eastAsia" w:ascii="宋体" w:hAnsi="宋体" w:eastAsia="宋体" w:cs="宋体"/>
          <w:sz w:val="24"/>
          <w:lang w:eastAsia="zh-CN"/>
        </w:rPr>
        <w:t>设备</w:t>
      </w:r>
      <w:r>
        <w:rPr>
          <w:rFonts w:hint="eastAsia" w:ascii="宋体" w:hAnsi="宋体" w:eastAsia="宋体" w:cs="宋体"/>
          <w:sz w:val="24"/>
        </w:rPr>
        <w:t>长自检硬件错误,</w:t>
      </w:r>
      <w:r>
        <w:rPr>
          <w:rFonts w:hint="eastAsia" w:ascii="宋体" w:hAnsi="宋体" w:eastAsia="宋体" w:cs="宋体"/>
          <w:sz w:val="24"/>
          <w:lang w:eastAsia="zh-CN"/>
        </w:rPr>
        <w:t>提示</w:t>
      </w:r>
      <w:r>
        <w:rPr>
          <w:rFonts w:hint="eastAsia" w:ascii="宋体" w:hAnsi="宋体" w:eastAsia="宋体" w:cs="宋体"/>
          <w:sz w:val="24"/>
        </w:rPr>
        <w:t>灵敏度超出范围</w:t>
      </w:r>
      <w:r>
        <w:rPr>
          <w:rFonts w:hint="eastAsia" w:ascii="宋体" w:hAnsi="宋体" w:eastAsia="宋体" w:cs="宋体"/>
          <w:sz w:val="24"/>
          <w:lang w:eastAsia="zh-CN"/>
        </w:rPr>
        <w:t>，需对</w:t>
      </w:r>
      <w:r>
        <w:rPr>
          <w:rFonts w:hint="eastAsia" w:ascii="宋体" w:hAnsi="宋体" w:eastAsia="宋体" w:cs="宋体"/>
          <w:sz w:val="24"/>
        </w:rPr>
        <w:t>频率合成器和射频前端维修</w:t>
      </w:r>
      <w:r>
        <w:rPr>
          <w:rFonts w:hint="eastAsia" w:ascii="宋体" w:hAnsi="宋体" w:eastAsia="宋体" w:cs="宋体"/>
          <w:color w:val="000000"/>
        </w:rPr>
        <w:t>并进行整机功能性测试</w:t>
      </w:r>
      <w:r>
        <w:rPr>
          <w:rFonts w:hint="eastAsia" w:ascii="宋体" w:hAnsi="宋体" w:eastAsia="宋体" w:cs="宋体"/>
          <w:color w:val="000000"/>
          <w:lang w:eastAsia="zh-CN"/>
        </w:rPr>
        <w:t>。</w:t>
      </w:r>
    </w:p>
    <w:p w14:paraId="4CD97F23">
      <w:pPr>
        <w:wordWrap w:val="0"/>
        <w:spacing w:line="360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2、详细维修内容及服务列表</w:t>
      </w:r>
    </w:p>
    <w:tbl>
      <w:tblPr>
        <w:tblStyle w:val="4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2736"/>
        <w:gridCol w:w="687"/>
        <w:gridCol w:w="895"/>
        <w:gridCol w:w="2748"/>
        <w:gridCol w:w="652"/>
      </w:tblGrid>
      <w:tr w14:paraId="039B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" w:type="pct"/>
            <w:noWrap w:val="0"/>
            <w:vAlign w:val="center"/>
          </w:tcPr>
          <w:p w14:paraId="76EC521E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642" w:type="pct"/>
            <w:noWrap w:val="0"/>
            <w:vAlign w:val="center"/>
          </w:tcPr>
          <w:p w14:paraId="34AD3051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设备名称</w:t>
            </w:r>
          </w:p>
        </w:tc>
        <w:tc>
          <w:tcPr>
            <w:tcW w:w="412" w:type="pct"/>
            <w:noWrap w:val="0"/>
            <w:vAlign w:val="center"/>
          </w:tcPr>
          <w:p w14:paraId="344B04FA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  <w:tc>
          <w:tcPr>
            <w:tcW w:w="537" w:type="pct"/>
            <w:noWrap w:val="0"/>
            <w:vAlign w:val="center"/>
          </w:tcPr>
          <w:p w14:paraId="2ECC34E4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原厂家</w:t>
            </w:r>
          </w:p>
        </w:tc>
        <w:tc>
          <w:tcPr>
            <w:tcW w:w="1649" w:type="pct"/>
            <w:noWrap w:val="0"/>
            <w:vAlign w:val="center"/>
          </w:tcPr>
          <w:p w14:paraId="431C9C2D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维修内容</w:t>
            </w:r>
          </w:p>
        </w:tc>
        <w:tc>
          <w:tcPr>
            <w:tcW w:w="391" w:type="pct"/>
            <w:noWrap w:val="0"/>
            <w:vAlign w:val="center"/>
          </w:tcPr>
          <w:p w14:paraId="33579E0F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</w:t>
            </w:r>
          </w:p>
        </w:tc>
      </w:tr>
      <w:tr w14:paraId="7659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" w:type="pct"/>
            <w:vMerge w:val="restart"/>
            <w:noWrap w:val="0"/>
            <w:vAlign w:val="center"/>
          </w:tcPr>
          <w:p w14:paraId="442BE5FA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</w:t>
            </w:r>
          </w:p>
        </w:tc>
        <w:tc>
          <w:tcPr>
            <w:tcW w:w="1642" w:type="pct"/>
            <w:vMerge w:val="restart"/>
            <w:noWrap w:val="0"/>
            <w:vAlign w:val="center"/>
          </w:tcPr>
          <w:p w14:paraId="67BA9EE5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EB500监测接收机</w:t>
            </w:r>
          </w:p>
          <w:p w14:paraId="5912E06E"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莆田一中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站）</w:t>
            </w:r>
          </w:p>
        </w:tc>
        <w:tc>
          <w:tcPr>
            <w:tcW w:w="412" w:type="pct"/>
            <w:vMerge w:val="restart"/>
            <w:noWrap w:val="0"/>
            <w:vAlign w:val="center"/>
          </w:tcPr>
          <w:p w14:paraId="448DFA2F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  <w:tc>
          <w:tcPr>
            <w:tcW w:w="537" w:type="pct"/>
            <w:vMerge w:val="restart"/>
            <w:noWrap w:val="0"/>
            <w:vAlign w:val="center"/>
          </w:tcPr>
          <w:p w14:paraId="064E7E7C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R&amp;S</w:t>
            </w:r>
          </w:p>
        </w:tc>
        <w:tc>
          <w:tcPr>
            <w:tcW w:w="1649" w:type="pct"/>
            <w:noWrap w:val="0"/>
            <w:vAlign w:val="center"/>
          </w:tcPr>
          <w:p w14:paraId="3FAD07B9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故障相应模块维修</w:t>
            </w:r>
          </w:p>
        </w:tc>
        <w:tc>
          <w:tcPr>
            <w:tcW w:w="391" w:type="pct"/>
            <w:noWrap w:val="0"/>
            <w:vAlign w:val="center"/>
          </w:tcPr>
          <w:p w14:paraId="6FDDAACD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1项</w:t>
            </w:r>
          </w:p>
        </w:tc>
      </w:tr>
      <w:tr w14:paraId="6983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" w:type="pct"/>
            <w:vMerge w:val="continue"/>
            <w:noWrap w:val="0"/>
            <w:vAlign w:val="center"/>
          </w:tcPr>
          <w:p w14:paraId="2944675D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2" w:type="pct"/>
            <w:vMerge w:val="continue"/>
            <w:noWrap w:val="0"/>
            <w:vAlign w:val="center"/>
          </w:tcPr>
          <w:p w14:paraId="2D15F5B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 w14:paraId="36F316D8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1130D37E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9" w:type="pct"/>
            <w:noWrap w:val="0"/>
            <w:vAlign w:val="center"/>
          </w:tcPr>
          <w:p w14:paraId="4F528FD4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设备整机功能性测试</w:t>
            </w:r>
          </w:p>
        </w:tc>
        <w:tc>
          <w:tcPr>
            <w:tcW w:w="391" w:type="pct"/>
            <w:noWrap w:val="0"/>
            <w:vAlign w:val="center"/>
          </w:tcPr>
          <w:p w14:paraId="5D6C8FDE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1项</w:t>
            </w:r>
          </w:p>
        </w:tc>
      </w:tr>
      <w:tr w14:paraId="0CDC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6" w:type="pct"/>
            <w:vMerge w:val="continue"/>
            <w:noWrap w:val="0"/>
            <w:vAlign w:val="center"/>
          </w:tcPr>
          <w:p w14:paraId="2E97D8DC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2" w:type="pct"/>
            <w:vMerge w:val="continue"/>
            <w:noWrap w:val="0"/>
            <w:vAlign w:val="center"/>
          </w:tcPr>
          <w:p w14:paraId="3EB20326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" w:type="pct"/>
            <w:vMerge w:val="continue"/>
            <w:noWrap w:val="0"/>
            <w:vAlign w:val="center"/>
          </w:tcPr>
          <w:p w14:paraId="6A90C254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68DFE595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9" w:type="pct"/>
            <w:noWrap w:val="0"/>
            <w:vAlign w:val="center"/>
          </w:tcPr>
          <w:p w14:paraId="2C013923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第三方检测报告</w:t>
            </w:r>
          </w:p>
        </w:tc>
        <w:tc>
          <w:tcPr>
            <w:tcW w:w="391" w:type="pct"/>
            <w:noWrap w:val="0"/>
            <w:vAlign w:val="center"/>
          </w:tcPr>
          <w:p w14:paraId="594C1894">
            <w:pPr>
              <w:pStyle w:val="3"/>
              <w:wordWrap w:val="0"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1项</w:t>
            </w:r>
          </w:p>
        </w:tc>
      </w:tr>
    </w:tbl>
    <w:p w14:paraId="3AC31256">
      <w:pPr>
        <w:wordWrap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3、项目完成期及维修地点</w:t>
      </w:r>
    </w:p>
    <w:p w14:paraId="7531BC81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（1）交接地点：由采购人指定，</w:t>
      </w:r>
      <w:r>
        <w:rPr>
          <w:rFonts w:hint="eastAsia" w:ascii="宋体" w:hAnsi="宋体" w:eastAsia="宋体" w:cs="宋体"/>
          <w:sz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</w:rPr>
        <w:t>需按要求送至指定地点；</w:t>
      </w:r>
    </w:p>
    <w:p w14:paraId="16806AB3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（2）交接方式：现场交接；</w:t>
      </w:r>
    </w:p>
    <w:p w14:paraId="70719004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（3）项目完成期：</w:t>
      </w:r>
      <w:r>
        <w:rPr>
          <w:rFonts w:hint="eastAsia" w:ascii="宋体" w:hAnsi="宋体" w:eastAsia="宋体" w:cs="宋体"/>
          <w:sz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</w:rPr>
        <w:t>应在合同签订后60日内将设备维修调试检测完毕提交给采购人，采购人收到设备后将对设备</w:t>
      </w:r>
      <w:r>
        <w:rPr>
          <w:rFonts w:hint="eastAsia" w:ascii="宋体" w:hAnsi="宋体" w:eastAsia="宋体" w:cs="宋体"/>
          <w:sz w:val="24"/>
          <w:szCs w:val="24"/>
        </w:rPr>
        <w:t>品牌型号及数量</w:t>
      </w:r>
      <w:r>
        <w:rPr>
          <w:rFonts w:hint="eastAsia" w:ascii="宋体" w:hAnsi="宋体" w:eastAsia="宋体" w:cs="宋体"/>
          <w:sz w:val="24"/>
        </w:rPr>
        <w:t>进行点验确认，确认无误后供应商应完成设备现场安装自检，安装自检完成后设备转入</w:t>
      </w:r>
      <w:r>
        <w:rPr>
          <w:rFonts w:hint="eastAsia" w:ascii="宋体" w:hAnsi="宋体" w:eastAsia="宋体" w:cs="宋体"/>
          <w:sz w:val="24"/>
          <w:lang w:val="en-US" w:eastAsia="zh-CN"/>
        </w:rPr>
        <w:t>3天</w:t>
      </w:r>
      <w:r>
        <w:rPr>
          <w:rFonts w:hint="eastAsia" w:ascii="宋体" w:hAnsi="宋体" w:eastAsia="宋体" w:cs="宋体"/>
          <w:sz w:val="24"/>
        </w:rPr>
        <w:t>试运行，试运行结束后供应商应向采购人申请验收。</w:t>
      </w:r>
    </w:p>
    <w:p w14:paraId="176627A4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（4）维修要求：货物维修标准应满足国家有关要求标准，对故障接收机出具</w:t>
      </w:r>
      <w:r>
        <w:rPr>
          <w:rFonts w:hint="eastAsia" w:ascii="宋体" w:hAnsi="宋体" w:eastAsia="宋体" w:cs="宋体"/>
          <w:sz w:val="24"/>
          <w:lang w:eastAsia="zh-CN"/>
        </w:rPr>
        <w:t>符合要求的</w:t>
      </w:r>
      <w:r>
        <w:rPr>
          <w:rFonts w:hint="eastAsia" w:ascii="宋体" w:hAnsi="宋体" w:eastAsia="宋体" w:cs="宋体"/>
          <w:sz w:val="24"/>
        </w:rPr>
        <w:t>检测报告，出具的检测报告须带有中国计量认证（CMA）标记或者中国合格评定国家认可委员会（CNAS）标记。</w:t>
      </w:r>
    </w:p>
    <w:p w14:paraId="576FB96E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（5）运输方式：相关货物包装必须满足实际运输要求，包装方式的确定及包装运输费用均由</w:t>
      </w:r>
      <w:r>
        <w:rPr>
          <w:rFonts w:hint="eastAsia" w:ascii="宋体" w:hAnsi="宋体" w:eastAsia="宋体" w:cs="宋体"/>
          <w:sz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</w:rPr>
        <w:t>承担；由于不适当的包装而造成货物在运输过程中有任何损坏均由</w:t>
      </w:r>
      <w:r>
        <w:rPr>
          <w:rFonts w:hint="eastAsia" w:ascii="宋体" w:hAnsi="宋体" w:eastAsia="宋体" w:cs="宋体"/>
          <w:sz w:val="24"/>
          <w:lang w:eastAsia="zh-CN"/>
        </w:rPr>
        <w:t>成交供应商</w:t>
      </w:r>
      <w:r>
        <w:rPr>
          <w:rFonts w:hint="eastAsia" w:ascii="宋体" w:hAnsi="宋体" w:eastAsia="宋体" w:cs="宋体"/>
          <w:sz w:val="24"/>
        </w:rPr>
        <w:t>负责。</w:t>
      </w:r>
    </w:p>
    <w:p w14:paraId="17BE7339">
      <w:pPr>
        <w:wordWrap w:val="0"/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注：包装应足以承受整个过程中的运输、转运、装卸、储存等，充分考虑到运输途中的各种情况(如暴露于恶劣气候等)和项目所在地的气候特点，以及露天存放的需要。</w:t>
      </w:r>
    </w:p>
    <w:p w14:paraId="7E65D4A4">
      <w:pPr>
        <w:wordWrap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4、验收条件</w:t>
      </w:r>
    </w:p>
    <w:p w14:paraId="22F60443">
      <w:pPr>
        <w:pStyle w:val="3"/>
        <w:wordWrap w:val="0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（1）验收依据：</w:t>
      </w:r>
      <w:r>
        <w:rPr>
          <w:rFonts w:hint="eastAsia" w:ascii="宋体" w:hAnsi="宋体" w:eastAsia="宋体" w:cs="宋体"/>
          <w:lang w:eastAsia="zh-CN"/>
        </w:rPr>
        <w:t>采购文件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eastAsia="zh-CN"/>
        </w:rPr>
        <w:t>成交供应商的报价（响应）文件</w:t>
      </w:r>
      <w:r>
        <w:rPr>
          <w:rFonts w:hint="eastAsia" w:ascii="宋体" w:hAnsi="宋体" w:eastAsia="宋体" w:cs="宋体"/>
        </w:rPr>
        <w:t>、厂家货物技术标准说明和对应故障设备维修</w:t>
      </w:r>
      <w:bookmarkStart w:id="0" w:name="_GoBack"/>
      <w:bookmarkEnd w:id="0"/>
      <w:r>
        <w:rPr>
          <w:rFonts w:hint="eastAsia" w:ascii="宋体" w:hAnsi="宋体" w:eastAsia="宋体" w:cs="宋体"/>
        </w:rPr>
        <w:t>后第三方检测报告，均为验收依据，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维修后的设备需同时满足上述所有标准的要求。</w:t>
      </w:r>
    </w:p>
    <w:p w14:paraId="21EE3065">
      <w:pPr>
        <w:pStyle w:val="3"/>
        <w:wordWrap w:val="0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（2）维修调试检测后设备点验：维修调试检测后的设备运抵采购人指定地点后由采购人和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双方对照详细维修内容及技术要求等标准对设备进行品牌型号、整体外观及数量点验确认。</w:t>
      </w:r>
    </w:p>
    <w:p w14:paraId="4837B011">
      <w:pPr>
        <w:pStyle w:val="3"/>
        <w:wordWrap w:val="0"/>
        <w:spacing w:beforeAutospacing="0" w:afterAutospacing="0"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（3）现场安装自检试运行后验收：点验确认后，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需对设备进行现场安装并对其整体性能和功能进行自检，自检结果需符合</w:t>
      </w:r>
      <w:r>
        <w:rPr>
          <w:rFonts w:hint="eastAsia" w:ascii="宋体" w:hAnsi="宋体" w:eastAsia="宋体" w:cs="宋体"/>
          <w:lang w:eastAsia="zh-CN"/>
        </w:rPr>
        <w:t>采购文件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eastAsia="zh-CN"/>
        </w:rPr>
        <w:t>成交供应商的报价（响应）文件</w:t>
      </w:r>
      <w:r>
        <w:rPr>
          <w:rFonts w:hint="eastAsia" w:ascii="宋体" w:hAnsi="宋体" w:eastAsia="宋体" w:cs="宋体"/>
        </w:rPr>
        <w:t>及合同中的相关条款，自检合格后，设备转入为期</w:t>
      </w:r>
      <w:r>
        <w:rPr>
          <w:rFonts w:hint="eastAsia" w:ascii="宋体" w:hAnsi="宋体" w:eastAsia="宋体" w:cs="宋体"/>
          <w:color w:val="000000"/>
          <w:lang w:val="en-US" w:eastAsia="zh-CN"/>
        </w:rPr>
        <w:t>3</w:t>
      </w:r>
      <w:r>
        <w:rPr>
          <w:rFonts w:hint="eastAsia" w:ascii="宋体" w:hAnsi="宋体" w:eastAsia="宋体" w:cs="宋体"/>
        </w:rPr>
        <w:t>天的试运行。试运行结束后，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应向采购人提交自检记录、试运行记录和第三方检测报告，并提出验收申请。经采购人同意后，双方共同进行设备的维修验收。</w:t>
      </w:r>
    </w:p>
    <w:p w14:paraId="6B531628">
      <w:pPr>
        <w:wordWrap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5、售后服务要求</w:t>
      </w:r>
    </w:p>
    <w:p w14:paraId="7B151821">
      <w:pPr>
        <w:pStyle w:val="3"/>
        <w:wordWrap w:val="0"/>
        <w:spacing w:beforeAutospacing="0" w:afterAutospacing="0" w:line="360" w:lineRule="auto"/>
        <w:ind w:firstLine="3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应在合同签订后60日内将设备维修调试检测完毕提交给采购人，之后经过点验确认、现场安装自检及试运行后即可向采购人申请验收。供应商应提供至少6个月的维保期服务，自验收合格之日起计算。维保服务期内，须按合同条款提供服务。</w:t>
      </w:r>
    </w:p>
    <w:p w14:paraId="6F8EDFE5">
      <w:pPr>
        <w:pStyle w:val="3"/>
        <w:wordWrap w:val="0"/>
        <w:spacing w:beforeAutospacing="0" w:afterAutospacing="0" w:line="360" w:lineRule="auto"/>
        <w:ind w:firstLine="320"/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在维保服务期内须提供上门维修服务，设备运行发生相同故障时</w:t>
      </w:r>
      <w:r>
        <w:rPr>
          <w:rFonts w:hint="eastAsia" w:ascii="宋体" w:hAnsi="宋体" w:eastAsia="宋体" w:cs="宋体"/>
          <w:lang w:eastAsia="zh-CN"/>
        </w:rPr>
        <w:t>成交供应商</w:t>
      </w:r>
      <w:r>
        <w:rPr>
          <w:rFonts w:hint="eastAsia" w:ascii="宋体" w:hAnsi="宋体" w:eastAsia="宋体" w:cs="宋体"/>
        </w:rPr>
        <w:t>在接到采购人故障通知后需在6小时内响应，18小时内到达现场，免费负责修理或更换再次出现故障的元件、零部件或模块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（包括返厂维修）</w:t>
      </w:r>
      <w:r>
        <w:rPr>
          <w:rFonts w:hint="eastAsia" w:ascii="宋体" w:hAnsi="宋体" w:eastAsia="宋体" w:cs="宋体"/>
        </w:rPr>
        <w:t>，对造成的损失按合同规定赔偿及承担违约责任。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451D"/>
    <w:rsid w:val="18A87A6F"/>
    <w:rsid w:val="25874283"/>
    <w:rsid w:val="356A5C0B"/>
    <w:rsid w:val="442962A2"/>
    <w:rsid w:val="4DC40DEA"/>
    <w:rsid w:val="5081260F"/>
    <w:rsid w:val="54C1314B"/>
    <w:rsid w:val="5BCF278A"/>
    <w:rsid w:val="6A9A31A7"/>
    <w:rsid w:val="784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1401</Characters>
  <Lines>0</Lines>
  <Paragraphs>0</Paragraphs>
  <TotalTime>1</TotalTime>
  <ScaleCrop>false</ScaleCrop>
  <LinksUpToDate>false</LinksUpToDate>
  <CharactersWithSpaces>1401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2025-10-17T08:29:00Z</dcterms:created>
  <dc:creator>Administrator</dc:creator>
  <cp:lastModifiedBy>WPS</cp:lastModifiedBy>
  <dcterms:modified xsi:type="dcterms:W3CDTF">2025-10-20T11:59:17Z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eyJoZGlkIjoiMDljOTI0YmEwNTE4Y2EyNDc1ZTk3NDQ3NjMyNGIyNDMiLCJ1c2VySWQiOiI0MTk5MTUxNjYifQ==</vt:lpwstr>
  </property>
  <property fmtid="{D5CDD505-2E9C-101B-9397-08002B2CF9AE}" pid="4" name="ICV">
    <vt:lpwstr>E2256467A4724EF8BE2A31BC7CE56400_12</vt:lpwstr>
  </property>
</Properties>
</file>