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福建省无线电台站管理电子证照功能升级项目技术要求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eastAsia="zh-CN"/>
        </w:rPr>
      </w:pPr>
    </w:p>
    <w:p>
      <w:pPr>
        <w:pStyle w:val="4"/>
        <w:rPr>
          <w:rFonts w:hint="eastAsia"/>
          <w:lang w:eastAsia="zh-CN"/>
        </w:rPr>
      </w:pPr>
      <w:r>
        <w:rPr>
          <w:rFonts w:hint="eastAsia"/>
          <w:lang w:eastAsia="zh-CN"/>
        </w:rPr>
        <w:t>一、建设内容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现有频率台站管理系统、公众移动基站数据交互系统新增电子签发功能模块，通过与我省政务外网对接，依托我省政务服务平台提供的统一身份认证、统一电子印章服务，实现无线电管理相关证照的电子化，落实零见面办理无线电业务，为无线电管理工作的电子化提供有效的技术手段，有效提升无线电频谱资源管理的电子化、规范化、科学化水平。</w:t>
      </w:r>
    </w:p>
    <w:p>
      <w:pPr>
        <w:pStyle w:val="4"/>
        <w:rPr>
          <w:rFonts w:hint="eastAsia"/>
          <w:lang w:eastAsia="zh-CN"/>
        </w:rPr>
      </w:pPr>
      <w:r>
        <w:rPr>
          <w:rFonts w:hint="eastAsia"/>
          <w:lang w:eastAsia="zh-CN"/>
        </w:rPr>
        <w:t>二、评分方法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采用最低价中标法，在满足“三、技术内容及响应要求”、“四、商务要求”、“五、违约条款”中所有要求的供应商中，选取报价最低的供应商作为中标候选人；若出现两家及以上满足要求且报价相同的最低价供应商，则根据材料中业绩案例数量较多的确定为中标候选人，业绩案例数量相同时以业绩案例总金额较大的确定为中标候选人，若业绩数量、金额均相同则随机抽取中标候选人。</w:t>
      </w:r>
    </w:p>
    <w:p>
      <w:pPr>
        <w:pStyle w:val="4"/>
        <w:rPr>
          <w:rFonts w:hint="eastAsia"/>
          <w:lang w:eastAsia="zh-CN"/>
        </w:rPr>
      </w:pPr>
      <w:r>
        <w:rPr>
          <w:rFonts w:hint="eastAsia"/>
          <w:lang w:eastAsia="zh-CN"/>
        </w:rPr>
        <w:t>三、技术内容及响应要求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1.频率台站管理系统功能升级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基于频率台站管理系统进行核发电子证照操作；采用接口方式实现向省政务服务平台的电子证照平台进行证照的证面数据/文件的单向推送，并实现数据/文件推送结果信息的单向返回。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网闸实现数据摆渡，将福建省无线电管理信息网证照证面数据单向推送给政务服务平台的电子证照平台，由电子证照平台盖章后将电子证照推送到申请人账户供申请人下载及查看，向电子证照系统返回推送结果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融合已建频率台站管理系统，实现与电子证照核发、换发、补发、注销、修改等功能，并提供电子证照下载查看。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2.公众移动基站数据交互系统功能升级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基于公众移动基站数据交互系统进行批量核发电子证照操作；采用接口方式实现向省政务服务平台的电子证照平台进行证照的证面数据/文件的单向推送，并实现数据/文件推送结果信息的单向返回。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电子证照系统汇集基站执照数据，并与电子证照系统对接，再由福建省无线电管理信息网证照数据中间库与政务外网中间库进行单向数据推送，最终由政务网电子证照平台完成电子证照制作和签章，同时推动给运营商申报系统，供运营商下载、核验，向电子证照系统返回推送结果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融合公众移动基站数据交互系统，实现与电子证照核发、换发、修改等功能，并提供电子证照下载查看。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3.证照类型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支持地面业务无线电电子执照、卫星地球站电子执照、公众移动基站电子执照等。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提供电子执照的查询和下载功能，支持PDF、OFD两种格式电子执照，其中公众移动基站电子执照支持批量下载。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4.与省政务服务平台对接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政务服务平台提供统一的电子签章、CA数字证书和电子证照生成和发布功能。与省政务服务平台的数据交互遵循《关于推进无线电管理相关电子证照标准应用的通知》（工无函〔2022〕206号）和全国一体化政务服务平台标准《电子证照无线电频率使用许可证》(c0288-2022)和《电子证照无线电台执照 (第1部分:地面无线电业务)》(C0234.1-2020)的相关要求，按一体化政务服务平台统一标准要求提供数据，包括地面业务台站、卫星地球站，证照数据结构包含照面项与九个公共项信息。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5.与已建业务系统对接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与频率台站管理系统和公众移动基站数据交互系统对接，确保证照的证面数据/文件推送正常以及数据/文件推送结果信息的正常返回。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6.数据摆渡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采用数据摆渡方式，建设两个电子证照数据中间库，确保数据隔离度。至少需要一台服务器承载中间库相关功能，性能要求：CPU≥2颗，主频≥2.6GHz，单颗CPU≥16核心，内存≥64GB DDR4，硬盘≥2TB。</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7.网络和安全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本项目至少需要一台交换机和一台防火墙，实现网络连通和网络安全管理。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交换机性能要求：端口个数量≥24口，上行端口速率千兆或更高，上行端口速率千兆或更高，网管类型为可网管，端口类型电口或光口。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防火墙性能要求：内存≥4G，接口≥6个千兆电口(包含1个管理口、1个HA口)、≥4个千兆光插槽，防火墙吞吐≥500M，并发连接≥30万，每秒新建连接数≥1万。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8.其他要求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所有设备和应用在使用过程中不得再向设备厂家申请授权，相关商用软件应提供商用授权给采购人，防止出现知识产权或正版化纠纷。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涉及的CPU芯片、操作系统和数据库应通过安全可靠测评，符合《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w:t>
      </w:r>
    </w:p>
    <w:p>
      <w:pPr>
        <w:pStyle w:val="4"/>
        <w:rPr>
          <w:rFonts w:hint="eastAsia"/>
          <w:lang w:eastAsia="zh-CN"/>
        </w:rPr>
      </w:pPr>
      <w:r>
        <w:rPr>
          <w:rFonts w:hint="eastAsia"/>
          <w:lang w:eastAsia="zh-CN"/>
        </w:rPr>
        <w:t>四、商务要求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1.报价供应商业绩要求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供应商提供2020年1月1日至本项目材料递交截止时间止（日期以合同签订时间为准）已完成无线电管理一体化平台相关系统应用建设项目业绩证明材料，供应商应如实提供该业绩项目的中标公告、中标通知书、合同以及能够证明该业绩项目已经采购人验收合格的相关证明材料。未完整提供上述相关证明材料复印件的，视为不符合业绩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2.项目实施要求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（1）项目施工周期为30个自然日。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（2）中标人应针对本标包项目专门建立一个完善和固定的管理组织机构，实施团队人员数量不少于3人，具有固定的项目负责人，其中必须包括一名专职负责的项目经理。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（3）在本标包项目实施期间，中标人如中途更换项目经理，必须征得采购人同意。中标人必须无条件接受采购人的监督检查，并承担人力不足、人员不到位所导致的相关质量、进度等违约责任。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（4）对中标人在本标包项目实施过程中出现资源、进度、质量协调控制不力的情况，采购人有权要求更换相关项目人员，中标人必须予以配合，并确保不影响项目建设的进度和质量。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求中标人提供培训服务及培训计划；中标人应负责免费对采购人技术人员提供全面培训，使采购人的技术人员能独立进行设备(软件)操作和管理。中标人负责提供给培训人员实际的操作环境、培训资料(如电子文档和纸面文档，中文版本，文件格式为DOC 格式文档或 PDF 格式文档或其他可视化文件等)和相应的培训师资。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4.质量保证期和售后服务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质保期：中标人应按照询价采购文件的要求提供合格的产品，所有软硬件(整机)产品质保期为36个月(自竣工验收之日起计算，若供应商在其响应文件中对质保期有更长的承诺时限的，则质保期依从其响应文件中的承诺时限)，中标人提供原厂保修和软件升级服务，该服务包含在投标人投标报价内。质保期内，中标人必须按照合同条款提供质保服务，非因采购人操作不当造成的零配件更换等由中标人免费负责包修、包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质保期内，中标人必须提供免费上门维保服务，要求提供7*24小时维保技术支持，2小时内响应，遇到故障8小时内远程处理完成或到达现场，12小时内排除故障，若48小时内无法排除硬件故障，则应先提供同档次备用设备供采购人使用。质量保证期内发生3次同一种重大质量问题，中标人应根据采购人要求无条件退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（1）中标人承担设备运输到交货地点过程中发生的一切费用，货物交付至采购人指定地点前的风险由中标人承担。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（2）交付安装条件：中标人需自行勘查指定地点是否具备安装条件并及时书面通知采购人，因中标人未勘查安装条件而造成的相关后果由中标人承担。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（3）审计要求。中标人须提供本采购项目中各子项目符合相关财政纪律规定的独立财务决算审计报告或承担相应费用，所形成财务决算审计报告为竣工验收必备文件。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lang w:val="en-US" w:eastAsia="zh-CN"/>
        </w:rPr>
      </w:pPr>
      <w:r>
        <w:rPr>
          <w:rFonts w:hint="eastAsia" w:ascii="仿宋_GB2312" w:hAnsi="仿宋_GB2312" w:eastAsia="仿宋_GB2312" w:cs="仿宋_GB2312"/>
          <w:sz w:val="32"/>
          <w:szCs w:val="32"/>
          <w:lang w:val="en-US" w:eastAsia="zh-CN"/>
        </w:rPr>
        <w:t>（4）中标人应配合采购人开展项目绩效评价及审计等相关工作，且不受合同期限限制。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（5）相关未列明确保中标人履约的条款和中标人违约责任条款可在编写项目合同时界定。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（6）未列明情形处理。除询价采购文件另有规定外，若出现有关法律、法规和规章有强制性规定但询价采购文件未列明的情形，则投标人应按照有关法律、法规和规章强制性规定执行。</w:t>
      </w:r>
    </w:p>
    <w:p>
      <w:pPr>
        <w:pStyle w:val="4"/>
        <w:rPr>
          <w:rFonts w:hint="eastAsia"/>
          <w:lang w:val="en-US" w:eastAsia="zh-CN"/>
        </w:rPr>
      </w:pPr>
      <w:r>
        <w:rPr>
          <w:rFonts w:hint="eastAsia"/>
          <w:lang w:val="en-US" w:eastAsia="zh-CN"/>
        </w:rPr>
        <w:t>五、</w:t>
      </w:r>
      <w:r>
        <w:rPr>
          <w:rFonts w:hint="eastAsia"/>
          <w:lang w:eastAsia="zh-CN"/>
        </w:rPr>
        <w:t>违约条款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1.安全责任违约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发生人身或财产安全事故，除按国家有关法律法规、安全管理规定及采购人有关安全管理办法执行外，并报相关行政主管部门处罚；发生重大安全事故或特大安全事故，除按国家有关法律法规、管理规定及采购人有关管理办法执行外，采购人有权单方面终止合同，并要求中标人按合同总价款30%支付违约金；给采购人造成的损失，中标人还应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2.中标人违约责任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如果中标人未能按合同规定的时间按时足额供货的(不可抗力因素除外)，中标人应当向采购人支付延期供货违约金。延期供货时间自合同约定的到货验收截止时间起算，延期供货违约金比率为每延迟一天，中标人应按迟延交付货物金额的千分之五向采购人支付。采购人有权从未付的合同货款中扣除延期供货违约金。延期供货违约金的支付总额不得超过迟供货物部分合同金额的15%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果中标人未能按合同规定的时间（即到货验收截止时间）或双方另行确定的延期供货期按时足额交货的(不可抗力因素除外)，若中标人逾期供货达30个自然日(含30个自然日)以上的，采购人有权单方面解除本合同，中标人应向采购人支付合同总价款的15%作为违约金。若因此给采购人造成损失的，还应赔偿采购人所受的损失(中标人同意赔偿损失的范围其中包括采购人为此支出的律师费、诉讼费、执行费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标人所交付的产品不符合合同规定及采购人询价采购文件规定标准的，采购人有权拒收，中标人愿意更换产品但逾期交货的，按中标人延期交货处理，中标人须支付延期供货违约金。中标人拒绝更换产品的，视为中标人违约。若无法更换或仍不合格的，采购人有权单方面解除本合同，并要求中标人按合同总价款的15%支付违约金。违约金不足以补偿采购人损失的，采购人有权要求中标人赔偿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标人提供设备经安装调试后无法通过验收，经限期整改后仍无法通过验收的，采购人有权单方面解除合同，并要求中标人按合同总价款的15%支付违约金。违约金不足以补偿损失，采购人有权要求中标人赔偿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如果中标人未能按照合同约定时间提供质保服务的，在采购人或业主单位发出警示函后，每逾期一天，中标人应向采购人支付2000元的违约金，若因此给采购人造成损失的，中标人还应赔偿采购人所受的损失。逾期违约金的支付总额不超过合同总价款的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（6）质保期内设备运行发生故障的，中标人未按合同约定时限内提供咨询、维修和更换零部件等服务，采购人有权委托第三方处理，相关费用由中标人承担。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（7）知识产权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pPr>
        <w:pStyle w:val="4"/>
        <w:rPr>
          <w:rFonts w:hint="eastAsia"/>
          <w:lang w:eastAsia="zh-CN"/>
        </w:rPr>
      </w:pPr>
      <w:r>
        <w:rPr>
          <w:rFonts w:hint="eastAsia"/>
          <w:lang w:eastAsia="zh-CN"/>
        </w:rPr>
        <w:t>六、</w:t>
      </w:r>
      <w:r>
        <w:rPr>
          <w:rFonts w:hint="eastAsia"/>
          <w:lang w:val="en-US" w:eastAsia="zh-CN"/>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项目通过竣工验收后，由中标供应商提供合同全额发票，经采购人确认后，</w:t>
      </w:r>
      <w:r>
        <w:rPr>
          <w:rFonts w:hint="eastAsia" w:ascii="仿宋_GB2312" w:hAnsi="仿宋_GB2312" w:eastAsia="仿宋_GB2312" w:cs="仿宋_GB2312"/>
          <w:sz w:val="32"/>
          <w:szCs w:val="32"/>
          <w:lang w:val="en-US" w:eastAsia="zh-CN"/>
        </w:rPr>
        <w:t>30个工作日内支付合同金额100%</w:t>
      </w:r>
      <w:r>
        <w:rPr>
          <w:rFonts w:hint="eastAsia" w:ascii="仿宋_GB2312" w:hAnsi="仿宋_GB2312" w:eastAsia="仿宋_GB2312" w:cs="仿宋_GB2312"/>
          <w:sz w:val="32"/>
          <w:szCs w:val="32"/>
          <w:lang w:eastAsia="zh-CN"/>
        </w:rPr>
        <w:t>。</w:t>
      </w:r>
    </w:p>
    <w:p>
      <w:pPr>
        <w:pStyle w:val="4"/>
        <w:rPr>
          <w:rFonts w:hint="eastAsia"/>
          <w:lang w:eastAsia="zh-CN"/>
        </w:rPr>
      </w:pPr>
      <w:r>
        <w:rPr>
          <w:rFonts w:hint="eastAsia"/>
          <w:lang w:eastAsia="zh-CN"/>
        </w:rPr>
        <w:t>七、参考标准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《中华人民共和国无线电管理条例》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《省级无线电管理一体化平台建设规范及技术要求》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第1部分：服务治理》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第2部分：统一身份》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第3部分：平台级互联互通》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第4部分：应用安全》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第5部分：地理信息》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《关于推进无线电管理相关电子证照标准应用的通知》（工无函〔2022〕206号）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《电子证照 无线电台执照（第1部分：地面无线电业务）》（C0234.1-2020）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《电子证照 无线电频率使用许可证》（C0288-2022）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《全国一体化政务服务平台 电子证照 无线电台执照 第2部分：卫星地球站》（C0234.2-2020）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《中华人民共和国行政许可法》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《关于深入推进审批服务便民化的指导意见》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《中华人民共和国无线电管理条例》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《全国无线电管理信息系统应用安全规范》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《国务院关于加快推进全国一体化政务服务平台建设的指导意见》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《工业和信息化部办公厅关于启用新版无线电频率使用申请表、无线电台（站）设置使用申请表以及无线电台执照的通知》（工信厅无函〔2021〕210号）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《工业和信息化部办公厅关于启用新版&lt;中华人民共和国无线电台执照（地面无线电业务）&gt;的通知》（工信厅无〔2018〕99号）</w:t>
      </w:r>
    </w:p>
    <w:p>
      <w:pPr>
        <w:pStyle w:val="4"/>
        <w:rPr>
          <w:rFonts w:hint="eastAsia"/>
          <w:lang w:val="en-US" w:eastAsia="zh-CN"/>
        </w:rPr>
      </w:pPr>
      <w:r>
        <w:rPr>
          <w:rFonts w:hint="eastAsia"/>
          <w:lang w:val="en-US" w:eastAsia="zh-CN"/>
        </w:rPr>
        <w:t>八、技术内容及商务要求响应模板</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170"/>
        <w:gridCol w:w="3170"/>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pStyle w:val="4"/>
              <w:spacing w:line="240" w:lineRule="auto"/>
              <w:ind w:left="0" w:leftChars="0" w:firstLine="0" w:firstLineChars="0"/>
              <w:jc w:val="center"/>
              <w:rPr>
                <w:rFonts w:hint="eastAsia"/>
                <w:sz w:val="32"/>
                <w:szCs w:val="24"/>
                <w:lang w:eastAsia="zh-CN"/>
              </w:rPr>
            </w:pPr>
            <w:r>
              <w:rPr>
                <w:rFonts w:hint="eastAsia"/>
                <w:sz w:val="28"/>
                <w:szCs w:val="22"/>
                <w:lang w:eastAsia="zh-CN"/>
              </w:rPr>
              <w:t>序号</w:t>
            </w:r>
          </w:p>
        </w:tc>
        <w:tc>
          <w:tcPr>
            <w:tcW w:w="3170" w:type="dxa"/>
            <w:vAlign w:val="center"/>
          </w:tcPr>
          <w:p>
            <w:pPr>
              <w:pStyle w:val="4"/>
              <w:spacing w:line="240" w:lineRule="auto"/>
              <w:ind w:left="0" w:leftChars="0" w:firstLine="0" w:firstLineChars="0"/>
              <w:jc w:val="center"/>
              <w:rPr>
                <w:rFonts w:hint="eastAsia"/>
                <w:sz w:val="28"/>
                <w:szCs w:val="22"/>
                <w:lang w:eastAsia="zh-CN"/>
              </w:rPr>
            </w:pPr>
            <w:r>
              <w:rPr>
                <w:rFonts w:hint="eastAsia"/>
                <w:sz w:val="28"/>
                <w:szCs w:val="22"/>
                <w:lang w:eastAsia="zh-CN"/>
              </w:rPr>
              <w:t>要求内容</w:t>
            </w:r>
          </w:p>
        </w:tc>
        <w:tc>
          <w:tcPr>
            <w:tcW w:w="3170" w:type="dxa"/>
            <w:vAlign w:val="center"/>
          </w:tcPr>
          <w:p>
            <w:pPr>
              <w:pStyle w:val="4"/>
              <w:spacing w:line="240" w:lineRule="auto"/>
              <w:ind w:left="0" w:leftChars="0" w:firstLine="0" w:firstLineChars="0"/>
              <w:jc w:val="center"/>
              <w:rPr>
                <w:rFonts w:hint="eastAsia"/>
                <w:sz w:val="28"/>
                <w:szCs w:val="22"/>
                <w:lang w:eastAsia="zh-CN"/>
              </w:rPr>
            </w:pPr>
            <w:r>
              <w:rPr>
                <w:rFonts w:hint="eastAsia"/>
                <w:sz w:val="28"/>
                <w:szCs w:val="22"/>
                <w:lang w:eastAsia="zh-CN"/>
              </w:rPr>
              <w:t>响应内容</w:t>
            </w:r>
          </w:p>
        </w:tc>
        <w:tc>
          <w:tcPr>
            <w:tcW w:w="1381" w:type="dxa"/>
            <w:vAlign w:val="center"/>
          </w:tcPr>
          <w:p>
            <w:pPr>
              <w:pStyle w:val="4"/>
              <w:spacing w:line="240" w:lineRule="auto"/>
              <w:ind w:left="0" w:leftChars="0" w:firstLine="0" w:firstLineChars="0"/>
              <w:jc w:val="center"/>
              <w:rPr>
                <w:rFonts w:hint="eastAsia"/>
                <w:sz w:val="28"/>
                <w:szCs w:val="22"/>
                <w:lang w:eastAsia="zh-CN"/>
              </w:rPr>
            </w:pPr>
            <w:r>
              <w:rPr>
                <w:rFonts w:hint="eastAsia"/>
                <w:sz w:val="28"/>
                <w:szCs w:val="22"/>
                <w:lang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4"/>
          </w:tcPr>
          <w:p>
            <w:pPr>
              <w:pStyle w:val="4"/>
              <w:ind w:left="0" w:leftChars="0" w:firstLine="0" w:firstLineChars="0"/>
              <w:rPr>
                <w:rFonts w:hint="eastAsia" w:ascii="仿宋_GB2312" w:hAnsi="仿宋_GB2312" w:eastAsia="仿宋_GB2312" w:cs="仿宋_GB2312"/>
                <w:sz w:val="32"/>
                <w:szCs w:val="32"/>
                <w:vertAlign w:val="baseline"/>
                <w:lang w:val="en-US" w:eastAsia="zh-CN"/>
              </w:rPr>
            </w:pPr>
            <w:r>
              <w:rPr>
                <w:rFonts w:hint="eastAsia"/>
                <w:lang w:eastAsia="zh-CN"/>
              </w:rPr>
              <w:t>三、技术内容及响应要求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1.频率台站管理系统功能升级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基于频率台站管理系统进行核发电子证照操作；采用接口方式实现向省政务服务平台的电子证照平台进行证照的证面数据/文件的单向推送，并实现数据/文件推送结果信息的单向返回。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通过网闸实现数据摆渡，将福建省无线电管理信息网证照证面数据单向推送给政务服务平台的电子证照平台，由电子证照平台盖章后将电子证照推送到申请人账户供申请人下载及查看，向电子证照系统返回推送结果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融合已建频率台站管理系统，实现与电子证照核发、换发、补发、注销、修改等功能，并提供电子证照下载查看。</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highlight w:val="yellow"/>
                <w:lang w:val="en-US" w:eastAsia="zh-CN"/>
              </w:rPr>
              <w:t>范例：</w:t>
            </w:r>
            <w:r>
              <w:rPr>
                <w:rFonts w:hint="eastAsia" w:ascii="仿宋_GB2312" w:hAnsi="仿宋_GB2312" w:eastAsia="仿宋_GB2312" w:cs="仿宋_GB2312"/>
                <w:sz w:val="21"/>
                <w:szCs w:val="21"/>
                <w:lang w:val="en-US" w:eastAsia="zh-CN"/>
              </w:rPr>
              <w:t>基于频率台站管理系统进行核发电子证照操作；采用接口方式实现向省政务服务平台的电子证照平台进行证照的证面数据/文件的单向推送，并实现数据/文件推送结果信息的单向返回。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通过网闸实现数据摆渡，将福建省无线电管理信息网证照证面数据单向推送给政务服务平台的电子证照平台，由电子证照平台盖章后将电子证照推送到申请人账户供申请人下载及查看，向电子证照系统返回推送结果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融合已建频率台站管理系统，实现与电子证照核发、换发、补发、注销、修改等功能，并提供电子证照下载查看。</w:t>
            </w:r>
            <w:r>
              <w:rPr>
                <w:rFonts w:hint="eastAsia" w:ascii="仿宋_GB2312" w:hAnsi="仿宋_GB2312" w:eastAsia="仿宋_GB2312" w:cs="仿宋_GB2312"/>
                <w:sz w:val="21"/>
                <w:szCs w:val="21"/>
                <w:highlight w:val="yellow"/>
                <w:lang w:val="en-US" w:eastAsia="zh-CN"/>
              </w:rPr>
              <w:t>（根据实际所能提供服务情况填写）</w:t>
            </w: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highlight w:val="yellow"/>
                <w:vertAlign w:val="baseline"/>
                <w:lang w:val="en-US" w:eastAsia="zh-CN"/>
              </w:rPr>
              <w:t>范例：</w:t>
            </w:r>
            <w:r>
              <w:rPr>
                <w:rFonts w:hint="eastAsia" w:ascii="仿宋_GB2312" w:hAnsi="仿宋_GB2312" w:eastAsia="仿宋_GB2312" w:cs="仿宋_GB2312"/>
                <w:sz w:val="21"/>
                <w:szCs w:val="21"/>
                <w:vertAlign w:val="baseline"/>
                <w:lang w:val="en-US" w:eastAsia="zh-CN"/>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基于公众移动基站数据交互系统进行批量核发电子证照操作；采用接口方式实现向省政务服务平台的电子证照平台进行证照的证面数据/文件的单向推送，并实现数据/文件推送结果信息的单向返回。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由电子证照系统汇集基站执照数据，并与电子证照系统对接，再由福建省无线电管理信息网证照数据中间库与政务外网中间库进行单向数据推送，最终由政务网电子证照平台完成电子证照制作和签章，同时推动给运营商申报系统，供运营商下载、核验，向电子证照系统返回推送结果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融合公众移动基站数据交互系统，实现与电子证照核发、换发、修改等功能，并提供电子证照下载查看。</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支持地面业务无线电电子执照、卫星地球站电子执照、公众移动基站电子执照等。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提供电子执照的查询和下载功能，支持PDF、OFD两种格式电子执照，其中公众移动基站电子执照支持批量下载。</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政务服务平台提供统一的电子签章、CA数字证书和电子证照生成和发布功能。与省政务服务平台的数据交互遵循《关于推进无线电管理相关电子证照标准应用的通知》（工无函〔2022〕206号）和全国一体化政务服务平台标准《电子证照无线电频率使用许可证》(c0288-2022)和《电子证照无线电台执照 (第1部分:地面无线电业务)》(C0234.1-2020)的相关要求，按一体化政务服务平台统一标准要求提供数据，包括地面业务台站、卫星地球站，证照数据结构包含照面项与九个公共项信息。</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与频率台站管理系统和公众移动基站数据交互系统对接，确保证照的证面数据/文件推送正常以及数据/文件推送结果信息的正常返回。</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采用数据摆渡方式，建设两个电子证照数据中间库，确保数据隔离度。至少需要一台服务器承载中间库相关功能，性能要求：CPU≥2颗，主频≥2.6GHz，单颗CPU≥16核心，内存≥64GB DDR4，硬盘≥2TB。</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本项目至少需要一台交换机和一台防火墙，实现网络连通和网络安全管理。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交换机性能要求：端口个数量≥24口，上行端口速率千兆或更高，上行端口速率千兆或更高，网管类型为可网管，端口类型电口或光口。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防火墙性能要求：内存≥4G，接口≥6个千兆电口(包含1个管理口、1个HA口)、≥4个千兆光插槽，防火墙吞吐≥500M，并发连接≥30万，每秒新建连接数≥1万。</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所有设备和应用在使用过程中不得再向设备厂家申请授权，相关商用软件应提供商用授权给采购人，防止出现知识产权或正版化纠纷。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项目涉及的CPU芯片、操作系统和数据库应通过安全可靠测评，符合《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w:t>
            </w:r>
            <w:bookmarkStart w:id="0" w:name="_GoBack"/>
            <w:bookmarkEnd w:id="0"/>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pStyle w:val="4"/>
              <w:ind w:left="0" w:leftChars="0" w:firstLine="0" w:firstLineChars="0"/>
              <w:rPr>
                <w:rFonts w:hint="eastAsia" w:ascii="仿宋_GB2312" w:hAnsi="仿宋_GB2312" w:eastAsia="仿宋_GB2312" w:cs="仿宋_GB2312"/>
                <w:sz w:val="21"/>
                <w:szCs w:val="21"/>
                <w:vertAlign w:val="baseline"/>
                <w:lang w:val="en-US" w:eastAsia="zh-CN"/>
              </w:rPr>
            </w:pPr>
            <w:r>
              <w:rPr>
                <w:rFonts w:hint="eastAsia"/>
                <w:lang w:eastAsia="zh-CN"/>
              </w:rPr>
              <w:t>四、商务要求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报价供应商业绩要求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商提供2020年1月1日至本项目材料递交截止时间止（日期以合同签订时间为准）已完成无线电管理一体化平台相关系统应用建设项目业绩证明材料，供应商应如实提供该业绩项目的中标公告、中标通知书、合同以及能够证明该业绩项目已经采购人验收合格的相关证明材料。未完整提供上述相关证明材料复印件的，视为不符合业绩要求。</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highlight w:val="yellow"/>
                <w:vertAlign w:val="baseline"/>
                <w:lang w:val="en-US" w:eastAsia="zh-CN"/>
              </w:rPr>
            </w:pPr>
            <w:r>
              <w:rPr>
                <w:rFonts w:hint="eastAsia" w:ascii="仿宋_GB2312" w:hAnsi="仿宋_GB2312" w:eastAsia="仿宋_GB2312" w:cs="仿宋_GB2312"/>
                <w:sz w:val="21"/>
                <w:szCs w:val="21"/>
                <w:highlight w:val="yellow"/>
                <w:vertAlign w:val="baseline"/>
                <w:lang w:val="en-US" w:eastAsia="zh-CN"/>
              </w:rPr>
              <w:t>范例：材料另附页</w:t>
            </w: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highlight w:val="yellow"/>
                <w:vertAlign w:val="baseline"/>
                <w:lang w:val="en-US" w:eastAsia="zh-CN"/>
              </w:rPr>
            </w:pPr>
            <w:r>
              <w:rPr>
                <w:rFonts w:hint="eastAsia" w:ascii="仿宋_GB2312" w:hAnsi="仿宋_GB2312" w:eastAsia="仿宋_GB2312" w:cs="仿宋_GB2312"/>
                <w:sz w:val="21"/>
                <w:szCs w:val="21"/>
                <w:highlight w:val="yellow"/>
                <w:vertAlign w:val="baseline"/>
                <w:lang w:val="en-US" w:eastAsia="zh-CN"/>
              </w:rPr>
              <w:t>范例：无偏离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项目实施要求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（1）项目施工周期为30个自然日。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（2）中标人应针对本标包项目专门建立一个完善和固定的管理组织机构，实施团队人员数量不少于3人，具有固定的项目负责人，其中必须包括一名专职负责的项目经理。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（3）在本标包项目实施期间，中标人如中途更换项目经理，必须征得采购人同意。中标人必须无条件接受采购人的监督检查，并承担人力不足、人员不到位所导致的相关质量、进度等违约责任。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（4）对中标人在本标包项目实施过程中出现资源、进度、质量协调控制不力的情况，采购人有权要求更换相关项目人员，中标人必须予以配合，并确保不影响项目建设的进度和质量。</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培训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要求中标人提供培训服务及培训计划；中标人应负责免费对采购人技术人员提供全面培训，使采购人的技术人员能独立进行设备(软件)操作和管理。中标人负责提供给培训人员实际的操作环境、培训资料(如电子文档和纸面文档，中文版本，文件格式为DOC 格式文档或 PDF 格式文档或其他可视化文件等)和相应的培训师资。</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质量保证期和售后服务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本项目质保期：中标人应按照询价采购文件的要求提供合格的产品，所有软硬件(整机)产品质保期为36个月(自竣工验收之日起计算，若供应商在其响应文件中对质保期有更长的承诺时限的，则质保期依从其响应文件中的承诺时限)，中标人提供原厂保修和软件升级服务，该服务包含在投标人投标报价内。质保期内，中标人必须按照合同条款提供质保服务，非因采购人操作不当造成的零配件更换等由中标人免费负责包修、包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质保期内，中标人必须提供免费上门维保服务，要求提供7*24小时维保技术支持，2小时内响应，遇到故障8小时内远程处理完成或到达现场，12小时内排除故障，若48小时内无法排除硬件故障，则应先提供同档次备用设备供采购人使用。质量保证期内发生3次同一种重大质量问题，中标人应根据采购人要求无条件退换。</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（1）中标人承担设备运输到交货地点过程中发生的一切费用，货物交付至采购人指定地点前的风险由中标人承担。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（2）交付安装条件：中标人需自行勘查指定地点是否具备安装条件并及时书面通知采购人，因中标人未勘查安装条件而造成的相关后果由中标人承担。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（3）审计要求。中标人须提供本采购项目中各子项目符合相关财政纪律规定的独立财务决算审计报告或承担相应费用，所形成财务决算审计报告为竣工验收必备文件。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（4）中标人应配合采购人开展项目绩效评价及审计等相关工作，且不受合同期限限制。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（5）相关未列明确保中标人履约的条款和中标人违约责任条款可在编写项目合同时界定。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（6）未列明情形处理。除询价采购文件另有规定外，若出现有关法律、法规和规章有强制性规定但询价采购文件未列明的情形，则投标人应按照有关法律、法规和规章强制性规定执行。</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pStyle w:val="4"/>
              <w:ind w:left="0" w:leftChars="0" w:firstLine="0" w:firstLineChars="0"/>
              <w:rPr>
                <w:rFonts w:hint="eastAsia" w:ascii="仿宋_GB2312" w:hAnsi="仿宋_GB2312" w:eastAsia="仿宋_GB2312" w:cs="仿宋_GB2312"/>
                <w:sz w:val="21"/>
                <w:szCs w:val="21"/>
                <w:vertAlign w:val="baseline"/>
                <w:lang w:val="en-US" w:eastAsia="zh-CN"/>
              </w:rPr>
            </w:pPr>
            <w:r>
              <w:rPr>
                <w:rFonts w:hint="eastAsia"/>
                <w:lang w:eastAsia="zh-CN"/>
              </w:rPr>
              <w:t>五、违约条款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安全责任违约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若发生人身或财产安全事故，除按国家有关法律法规、安全管理规定及采购人有关安全管理办法执行外，并报相关行政主管部门处罚；发生重大安全事故或特大安全事故，除按国家有关法律法规、管理规定及采购人有关管理办法执行外，采购人有权单方面终止合同，并要求中标人按合同总价款30%支付违约金；给采购人造成的损失，中标人还应承担赔偿责任。</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2.中标人违约责任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如果中标人未能按合同规定的时间按时足额供货的(不可抗力因素除外)，中标人应当向采购人支付延期供货违约金。延期供货时间自合同约定的到货验收截止时间起算，延期供货违约金比率为每延迟一天，中标人应按迟延交付货物金额的千分之五向采购人支付。采购人有权从未付的合同货款中扣除延期供货违约金。延期供货违约金的支付总额不得超过迟供货物部分合同金额的15%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如果中标人未能按合同规定的时间（即到货验收截止时间）或双方另行确定的延期供货期按时足额交货的(不可抗力因素除外)，若中标人逾期供货达30个自然日(含30个自然日)以上的，采购人有权单方面解除本合同，中标人应向采购人支付合同总价款的15%作为违约金。若因此给采购人造成损失的，还应赔偿采购人所受的损失(中标人同意赔偿损失的范围其中包括采购人为此支出的律师费、诉讼费、执行费等)。</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标人所交付的产品不符合合同规定及采购人询价采购文件规定标准的，采购人有权拒收，中标人愿意更换产品但逾期交货的，按中标人延期交货处理，中标人须支付延期供货违约金。中标人拒绝更换产品的，视为中标人违约。若无法更换或仍不合格的，采购人有权单方面解除本合同，并要求中标人按合同总价款的15%支付违约金。违约金不足以补偿采购人损失的，采购人有权要求中标人赔偿损失。</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标人提供设备经安装调试后无法通过验收，经限期整改后仍无法通过验收的，采购人有权单方面解除合同，并要求中标人按合同总价款的15%支付违约金。违约金不足以补偿损失，采购人有权要求中标人赔偿损失。</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如果中标人未能按照合同约定时间提供质保服务的，在采购人或业主单位发出警示函后，每逾期一天，中标人应向采购人支付2000元的违约金，若因此给采购人造成损失的，中标人还应赔偿采购人所受的损失。逾期违约金的支付总额不超过合同总价款的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（6）</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质保期内设备运行发生故障的，中标人未按合同约定时限内提供咨询、维修和更换零部件等服务，采购人有权委托第三方处理，相关费用由中标人承担。</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（7）</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07B2E"/>
    <w:rsid w:val="002B7374"/>
    <w:rsid w:val="00431D53"/>
    <w:rsid w:val="011A6884"/>
    <w:rsid w:val="01BC1F57"/>
    <w:rsid w:val="04AD0AA7"/>
    <w:rsid w:val="060C5AFB"/>
    <w:rsid w:val="06880C51"/>
    <w:rsid w:val="07A514FB"/>
    <w:rsid w:val="07AF13EC"/>
    <w:rsid w:val="085B49C5"/>
    <w:rsid w:val="0A3E53FE"/>
    <w:rsid w:val="0CFC2B41"/>
    <w:rsid w:val="0D6511B8"/>
    <w:rsid w:val="0E5441F0"/>
    <w:rsid w:val="0F4F63B4"/>
    <w:rsid w:val="10C571AE"/>
    <w:rsid w:val="116A5C3B"/>
    <w:rsid w:val="12A25C4D"/>
    <w:rsid w:val="12FF3E9C"/>
    <w:rsid w:val="14B6409D"/>
    <w:rsid w:val="16A07B2E"/>
    <w:rsid w:val="16BE18DD"/>
    <w:rsid w:val="1727561E"/>
    <w:rsid w:val="18EE27E8"/>
    <w:rsid w:val="19193911"/>
    <w:rsid w:val="196C4B77"/>
    <w:rsid w:val="19DD555E"/>
    <w:rsid w:val="1A700E93"/>
    <w:rsid w:val="1D69410E"/>
    <w:rsid w:val="200B2CCD"/>
    <w:rsid w:val="212713AD"/>
    <w:rsid w:val="225D5840"/>
    <w:rsid w:val="2571038D"/>
    <w:rsid w:val="25B832C5"/>
    <w:rsid w:val="261D530B"/>
    <w:rsid w:val="26D560A5"/>
    <w:rsid w:val="28CB205A"/>
    <w:rsid w:val="2BF46316"/>
    <w:rsid w:val="2C640AA3"/>
    <w:rsid w:val="2F06763C"/>
    <w:rsid w:val="2FF8156C"/>
    <w:rsid w:val="30DD4B88"/>
    <w:rsid w:val="31327551"/>
    <w:rsid w:val="33307062"/>
    <w:rsid w:val="33405EA4"/>
    <w:rsid w:val="33F24C22"/>
    <w:rsid w:val="354672DB"/>
    <w:rsid w:val="377859D5"/>
    <w:rsid w:val="38795D50"/>
    <w:rsid w:val="38EE2C6C"/>
    <w:rsid w:val="3905316D"/>
    <w:rsid w:val="39551C59"/>
    <w:rsid w:val="3A0F0815"/>
    <w:rsid w:val="3A8905E4"/>
    <w:rsid w:val="3FFB4EB3"/>
    <w:rsid w:val="41BF1DFC"/>
    <w:rsid w:val="429A40BF"/>
    <w:rsid w:val="4586797D"/>
    <w:rsid w:val="465530D6"/>
    <w:rsid w:val="4BBC723F"/>
    <w:rsid w:val="4D7A517D"/>
    <w:rsid w:val="4E7F41F0"/>
    <w:rsid w:val="4EDCBFC9"/>
    <w:rsid w:val="51C6696B"/>
    <w:rsid w:val="5248761B"/>
    <w:rsid w:val="54A20796"/>
    <w:rsid w:val="55647178"/>
    <w:rsid w:val="561925E0"/>
    <w:rsid w:val="587A0701"/>
    <w:rsid w:val="599C2E5B"/>
    <w:rsid w:val="59D8591C"/>
    <w:rsid w:val="5A66296A"/>
    <w:rsid w:val="5B44235D"/>
    <w:rsid w:val="5BEE81CB"/>
    <w:rsid w:val="5C0955A2"/>
    <w:rsid w:val="5C883078"/>
    <w:rsid w:val="5FC80366"/>
    <w:rsid w:val="60531047"/>
    <w:rsid w:val="660F738B"/>
    <w:rsid w:val="6663471E"/>
    <w:rsid w:val="669127EE"/>
    <w:rsid w:val="66B317CA"/>
    <w:rsid w:val="67030D5E"/>
    <w:rsid w:val="69AC1ED9"/>
    <w:rsid w:val="6B8D26DC"/>
    <w:rsid w:val="6C3F6613"/>
    <w:rsid w:val="6DA27151"/>
    <w:rsid w:val="6EBC3836"/>
    <w:rsid w:val="6FC17259"/>
    <w:rsid w:val="6FDE2B87"/>
    <w:rsid w:val="706C2D29"/>
    <w:rsid w:val="71627C5B"/>
    <w:rsid w:val="720455A8"/>
    <w:rsid w:val="74141C50"/>
    <w:rsid w:val="755E5220"/>
    <w:rsid w:val="7691208C"/>
    <w:rsid w:val="76B7605B"/>
    <w:rsid w:val="77CF4A59"/>
    <w:rsid w:val="77E6F6EF"/>
    <w:rsid w:val="79F620CB"/>
    <w:rsid w:val="7A7FC97D"/>
    <w:rsid w:val="7BAF4385"/>
    <w:rsid w:val="7DDF4662"/>
    <w:rsid w:val="7DFE1402"/>
    <w:rsid w:val="7F8A30E7"/>
    <w:rsid w:val="7FFFEE49"/>
    <w:rsid w:val="BEED5C29"/>
    <w:rsid w:val="BF7D6696"/>
    <w:rsid w:val="BFFB8AC5"/>
    <w:rsid w:val="D7BB9448"/>
    <w:rsid w:val="E77E1683"/>
    <w:rsid w:val="EFF50721"/>
    <w:rsid w:val="EFFD4E60"/>
    <w:rsid w:val="F68AAAF8"/>
    <w:rsid w:val="F7C9EEDC"/>
    <w:rsid w:val="F94BD330"/>
    <w:rsid w:val="FDF7517A"/>
    <w:rsid w:val="FFFD9B77"/>
    <w:rsid w:val="FFFF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黑体" w:asciiTheme="minorAscii" w:hAnsiTheme="minorAscii"/>
      <w:kern w:val="44"/>
      <w:sz w:val="32"/>
    </w:rPr>
  </w:style>
  <w:style w:type="paragraph" w:styleId="5">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仿宋_GB2312"/>
      <w:b/>
      <w:sz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0"/>
    <w:pPr>
      <w:spacing w:after="120"/>
      <w:ind w:left="420" w:leftChars="200"/>
    </w:pPr>
  </w:style>
  <w:style w:type="paragraph" w:styleId="6">
    <w:name w:val="annotation text"/>
    <w:basedOn w:val="1"/>
    <w:qFormat/>
    <w:uiPriority w:val="0"/>
    <w:pPr>
      <w:jc w:val="left"/>
    </w:pPr>
  </w:style>
  <w:style w:type="character" w:styleId="8">
    <w:name w:val="annotation reference"/>
    <w:basedOn w:val="7"/>
    <w:qFormat/>
    <w:uiPriority w:val="99"/>
    <w:rPr>
      <w:sz w:val="21"/>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null3"/>
    <w:qFormat/>
    <w:uiPriority w:val="0"/>
    <w:pPr>
      <w:spacing w:after="160" w:line="278" w:lineRule="auto"/>
    </w:pPr>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2025-08-26T10:00:00Z</dcterms:created>
  <dc:creator>etyfyfgu</dc:creator>
  <cp:lastModifiedBy>etyfyfgu</cp:lastModifiedBy>
  <cp:lastPrinted>2025-09-03T01:55:00Z</cp:lastPrinted>
  <dcterms:modified xsi:type="dcterms:W3CDTF">2025-10-28T08:50:00Z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978E6049DAEFC58EEB32BA682EBEE497</vt:lpwstr>
  </property>
</Properties>
</file>