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大标宋简体" w:eastAsia="方正大标宋简体"/>
          <w:sz w:val="44"/>
        </w:rPr>
      </w:pPr>
      <w:r>
        <w:rPr>
          <w:rFonts w:hint="eastAsia" w:ascii="方正大标宋简体" w:eastAsia="方正大标宋简体"/>
          <w:sz w:val="44"/>
          <w:lang w:eastAsia="zh-CN"/>
        </w:rPr>
        <w:t>采购项目</w:t>
      </w:r>
      <w:r>
        <w:rPr>
          <w:rFonts w:hint="eastAsia" w:ascii="方正大标宋简体" w:eastAsia="方正大标宋简体"/>
          <w:sz w:val="44"/>
        </w:rPr>
        <w:t>报价单</w:t>
      </w:r>
    </w:p>
    <w:p>
      <w:pPr>
        <w:rPr>
          <w:rFonts w:hint="eastAsia" w:ascii="仿宋_GB2312" w:eastAsia="仿宋_GB2312"/>
          <w:sz w:val="32"/>
          <w:szCs w:val="32"/>
        </w:rPr>
      </w:pPr>
    </w:p>
    <w:p>
      <w:pPr>
        <w:rPr>
          <w:rFonts w:hint="eastAsia" w:ascii="方正小标宋简体" w:eastAsia="方正小标宋简体"/>
          <w:sz w:val="44"/>
        </w:rPr>
      </w:pPr>
      <w:r>
        <w:rPr>
          <w:rFonts w:hint="eastAsia" w:ascii="仿宋_GB2312" w:eastAsia="仿宋_GB2312"/>
          <w:sz w:val="32"/>
          <w:szCs w:val="32"/>
        </w:rPr>
        <w:t>厦门市无线电管理局：</w:t>
      </w:r>
    </w:p>
    <w:p>
      <w:pPr>
        <w:tabs>
          <w:tab w:val="left" w:pos="2800"/>
        </w:tabs>
        <w:ind w:firstLine="640" w:firstLineChars="200"/>
        <w:rPr>
          <w:rFonts w:hint="eastAsia" w:ascii="仿宋_GB2312" w:eastAsia="仿宋_GB2312"/>
          <w:sz w:val="32"/>
          <w:szCs w:val="32"/>
        </w:rPr>
      </w:pPr>
      <w:r>
        <w:rPr>
          <w:rFonts w:hint="eastAsia" w:ascii="仿宋_GB2312" w:eastAsia="仿宋_GB2312"/>
          <w:sz w:val="32"/>
          <w:szCs w:val="32"/>
        </w:rPr>
        <w:t>关于本次询价的</w:t>
      </w:r>
      <w:r>
        <w:rPr>
          <w:rFonts w:hint="eastAsia" w:ascii="仿宋_GB2312" w:eastAsia="仿宋_GB2312"/>
          <w:sz w:val="32"/>
          <w:szCs w:val="32"/>
          <w:lang w:eastAsia="zh-CN"/>
        </w:rPr>
        <w:t>高性能便携式监测测向系统项目</w:t>
      </w:r>
      <w:r>
        <w:rPr>
          <w:rFonts w:hint="eastAsia" w:ascii="仿宋_GB2312" w:eastAsia="仿宋_GB2312"/>
          <w:sz w:val="32"/>
          <w:szCs w:val="32"/>
        </w:rPr>
        <w:t>，我单位已详细阅读了贵局发布的最高限价询价内容，完全理解项目要求，决定参加报价。</w:t>
      </w:r>
    </w:p>
    <w:p>
      <w:pPr>
        <w:numPr>
          <w:ilvl w:val="0"/>
          <w:numId w:val="1"/>
        </w:numPr>
        <w:tabs>
          <w:tab w:val="left" w:pos="2800"/>
        </w:tabs>
        <w:rPr>
          <w:rFonts w:hint="eastAsia" w:ascii="黑体" w:eastAsia="黑体"/>
          <w:sz w:val="32"/>
          <w:szCs w:val="32"/>
        </w:rPr>
      </w:pPr>
      <w:r>
        <w:rPr>
          <w:rFonts w:hint="eastAsia" w:ascii="黑体" w:eastAsia="黑体"/>
          <w:sz w:val="32"/>
          <w:szCs w:val="32"/>
        </w:rPr>
        <w:t>报价表</w:t>
      </w:r>
    </w:p>
    <w:tbl>
      <w:tblPr>
        <w:tblStyle w:val="4"/>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项目名称</w:t>
            </w:r>
          </w:p>
        </w:tc>
        <w:tc>
          <w:tcPr>
            <w:tcW w:w="178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总价</w:t>
            </w:r>
          </w:p>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474" w:type="dxa"/>
            <w:noWrap w:val="0"/>
            <w:vAlign w:val="center"/>
          </w:tcPr>
          <w:p>
            <w:pPr>
              <w:tabs>
                <w:tab w:val="left" w:pos="2800"/>
              </w:tabs>
              <w:jc w:val="left"/>
              <w:rPr>
                <w:rFonts w:hint="eastAsia" w:ascii="仿宋_GB2312" w:eastAsia="仿宋_GB2312"/>
                <w:color w:val="FF0000"/>
                <w:sz w:val="32"/>
                <w:szCs w:val="32"/>
                <w:lang w:eastAsia="zh-CN"/>
              </w:rPr>
            </w:pPr>
            <w:r>
              <w:rPr>
                <w:rFonts w:hint="eastAsia" w:ascii="仿宋_GB2312" w:eastAsia="仿宋_GB2312"/>
                <w:sz w:val="32"/>
                <w:szCs w:val="32"/>
                <w:lang w:eastAsia="zh-CN"/>
              </w:rPr>
              <w:t>高性能便携式监测测向系统</w:t>
            </w:r>
          </w:p>
        </w:tc>
        <w:tc>
          <w:tcPr>
            <w:tcW w:w="1784" w:type="dxa"/>
            <w:noWrap w:val="0"/>
            <w:vAlign w:val="center"/>
          </w:tcPr>
          <w:p>
            <w:pPr>
              <w:tabs>
                <w:tab w:val="left" w:pos="2800"/>
              </w:tabs>
              <w:jc w:val="center"/>
              <w:rPr>
                <w:rFonts w:hint="eastAsia" w:ascii="仿宋_GB2312" w:eastAsia="仿宋_GB2312"/>
                <w:sz w:val="32"/>
                <w:szCs w:val="32"/>
              </w:rPr>
            </w:pPr>
          </w:p>
        </w:tc>
      </w:tr>
    </w:tbl>
    <w:p>
      <w:pPr>
        <w:numPr>
          <w:ilvl w:val="0"/>
          <w:numId w:val="1"/>
        </w:numPr>
        <w:tabs>
          <w:tab w:val="left" w:pos="2800"/>
        </w:tabs>
        <w:rPr>
          <w:rFonts w:hint="eastAsia" w:ascii="黑体" w:eastAsia="黑体"/>
          <w:sz w:val="32"/>
          <w:szCs w:val="32"/>
        </w:rPr>
      </w:pPr>
      <w:r>
        <w:rPr>
          <w:rFonts w:hint="eastAsia" w:ascii="黑体" w:eastAsia="黑体"/>
          <w:sz w:val="32"/>
          <w:szCs w:val="32"/>
          <w:lang w:eastAsia="zh-CN"/>
        </w:rPr>
        <w:t>佐证材料</w:t>
      </w:r>
    </w:p>
    <w:p>
      <w:pPr>
        <w:tabs>
          <w:tab w:val="left" w:pos="2800"/>
        </w:tabs>
        <w:ind w:left="640"/>
        <w:rPr>
          <w:rFonts w:hint="eastAsia" w:ascii="仿宋_GB2312" w:hAnsi="等线" w:eastAsia="仿宋_GB2312" w:cs="Times New Roman"/>
          <w:sz w:val="32"/>
          <w:szCs w:val="32"/>
        </w:rPr>
      </w:pPr>
      <w:r>
        <w:rPr>
          <w:rFonts w:hint="eastAsia" w:ascii="仿宋_GB2312" w:hAnsi="等线" w:eastAsia="仿宋_GB2312" w:cs="Times New Roman"/>
          <w:sz w:val="32"/>
          <w:szCs w:val="32"/>
          <w:lang w:eastAsia="zh-CN"/>
        </w:rPr>
        <w:t>见附件《证明材料提交清单》</w:t>
      </w:r>
    </w:p>
    <w:p>
      <w:pPr>
        <w:numPr>
          <w:ilvl w:val="0"/>
          <w:numId w:val="1"/>
        </w:numPr>
        <w:tabs>
          <w:tab w:val="left" w:pos="2800"/>
        </w:tabs>
        <w:rPr>
          <w:rFonts w:hint="eastAsia" w:ascii="黑体" w:eastAsia="黑体"/>
          <w:sz w:val="32"/>
          <w:szCs w:val="32"/>
        </w:rPr>
      </w:pPr>
      <w:r>
        <w:rPr>
          <w:rFonts w:hint="eastAsia" w:ascii="黑体" w:eastAsia="黑体"/>
          <w:sz w:val="32"/>
          <w:szCs w:val="32"/>
        </w:rPr>
        <w:t>联系方式</w:t>
      </w:r>
    </w:p>
    <w:p>
      <w:pPr>
        <w:tabs>
          <w:tab w:val="left" w:pos="2800"/>
        </w:tabs>
        <w:ind w:left="640"/>
        <w:rPr>
          <w:rFonts w:hint="eastAsia" w:ascii="仿宋_GB2312" w:eastAsia="仿宋_GB2312"/>
          <w:sz w:val="32"/>
          <w:szCs w:val="32"/>
        </w:rPr>
      </w:pPr>
      <w:r>
        <w:rPr>
          <w:rFonts w:hint="eastAsia" w:ascii="仿宋_GB2312" w:eastAsia="仿宋_GB2312"/>
          <w:sz w:val="32"/>
          <w:szCs w:val="32"/>
        </w:rPr>
        <w:t>联系人：***       联系电话：***</w:t>
      </w:r>
    </w:p>
    <w:p>
      <w:pPr>
        <w:tabs>
          <w:tab w:val="left" w:pos="2800"/>
        </w:tabs>
        <w:ind w:left="640"/>
        <w:rPr>
          <w:rFonts w:hint="eastAsia" w:ascii="仿宋_GB2312" w:eastAsia="仿宋_GB2312"/>
          <w:sz w:val="32"/>
          <w:szCs w:val="32"/>
        </w:rPr>
      </w:pPr>
      <w:r>
        <w:rPr>
          <w:rFonts w:hint="eastAsia" w:ascii="仿宋_GB2312" w:eastAsia="仿宋_GB2312"/>
          <w:sz w:val="32"/>
          <w:szCs w:val="32"/>
        </w:rPr>
        <w:t>报价单位注册地详细地址：****</w:t>
      </w:r>
    </w:p>
    <w:p>
      <w:pPr>
        <w:tabs>
          <w:tab w:val="left" w:pos="2800"/>
        </w:tabs>
        <w:ind w:left="640"/>
        <w:rPr>
          <w:rFonts w:hint="eastAsia" w:ascii="仿宋_GB2312" w:hAnsi="等线" w:eastAsia="仿宋_GB2312" w:cs="Times New Roman"/>
          <w:sz w:val="32"/>
          <w:szCs w:val="32"/>
          <w:lang w:eastAsia="zh-CN"/>
        </w:rPr>
      </w:pPr>
    </w:p>
    <w:p>
      <w:pPr>
        <w:tabs>
          <w:tab w:val="left" w:pos="2800"/>
        </w:tabs>
        <w:ind w:left="640"/>
        <w:rPr>
          <w:rFonts w:hint="eastAsia" w:ascii="方正小标宋简体" w:eastAsia="方正小标宋简体"/>
          <w:sz w:val="44"/>
          <w:szCs w:val="44"/>
        </w:rPr>
      </w:pPr>
      <w:r>
        <w:rPr>
          <w:rFonts w:hint="eastAsia" w:ascii="方正小标宋简体" w:eastAsia="方正小标宋简体"/>
          <w:sz w:val="44"/>
          <w:szCs w:val="44"/>
        </w:rPr>
        <w:t xml:space="preserve">               </w:t>
      </w:r>
    </w:p>
    <w:p>
      <w:pPr>
        <w:tabs>
          <w:tab w:val="left" w:pos="2800"/>
        </w:tabs>
        <w:ind w:left="640"/>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仿宋_GB2312" w:eastAsia="仿宋_GB2312"/>
          <w:sz w:val="32"/>
          <w:szCs w:val="32"/>
        </w:rPr>
        <w:t>报价单位（盖章）：***</w:t>
      </w:r>
    </w:p>
    <w:p>
      <w:pPr>
        <w:tabs>
          <w:tab w:val="left" w:pos="2800"/>
        </w:tabs>
        <w:ind w:left="640"/>
        <w:rPr>
          <w:rFonts w:hint="eastAsia" w:ascii="仿宋_GB2312" w:eastAsia="仿宋_GB2312"/>
          <w:sz w:val="32"/>
          <w:szCs w:val="32"/>
        </w:rPr>
      </w:pPr>
      <w:r>
        <w:rPr>
          <w:rFonts w:hint="eastAsia" w:ascii="仿宋_GB2312" w:eastAsia="仿宋_GB2312"/>
          <w:sz w:val="32"/>
          <w:szCs w:val="32"/>
        </w:rPr>
        <w:t xml:space="preserve">                      日期：202</w:t>
      </w:r>
      <w:r>
        <w:rPr>
          <w:rFonts w:hint="eastAsia" w:ascii="仿宋_GB2312" w:eastAsia="仿宋_GB2312"/>
          <w:sz w:val="32"/>
          <w:szCs w:val="32"/>
          <w:lang w:val="en-US" w:eastAsia="zh-CN"/>
        </w:rPr>
        <w:t>5</w:t>
      </w:r>
      <w:r>
        <w:rPr>
          <w:rFonts w:hint="eastAsia" w:ascii="仿宋_GB2312" w:eastAsia="仿宋_GB2312"/>
          <w:sz w:val="32"/>
          <w:szCs w:val="32"/>
        </w:rPr>
        <w:t>年**月**日</w:t>
      </w:r>
    </w:p>
    <w:p>
      <w:pPr>
        <w:numPr>
          <w:ilvl w:val="0"/>
          <w:numId w:val="0"/>
        </w:numPr>
        <w:tabs>
          <w:tab w:val="left" w:pos="2800"/>
        </w:tabs>
        <w:rPr>
          <w:rFonts w:hint="eastAsia" w:ascii="仿宋_GB2312" w:eastAsia="仿宋_GB2312"/>
          <w:sz w:val="32"/>
          <w:szCs w:val="32"/>
          <w:lang w:eastAsia="zh-CN"/>
        </w:rPr>
      </w:pPr>
      <w:r>
        <w:rPr>
          <w:rFonts w:hint="eastAsia" w:ascii="仿宋_GB2312" w:eastAsia="仿宋_GB2312"/>
          <w:sz w:val="32"/>
          <w:szCs w:val="32"/>
        </w:rPr>
        <w:br w:type="page"/>
      </w:r>
      <w:r>
        <w:rPr>
          <w:rFonts w:hint="eastAsia" w:ascii="黑体" w:hAnsi="黑体" w:eastAsia="黑体" w:cs="黑体"/>
          <w:sz w:val="32"/>
          <w:szCs w:val="32"/>
          <w:lang w:eastAsia="zh-CN"/>
        </w:rPr>
        <w:t>附件</w:t>
      </w:r>
    </w:p>
    <w:p>
      <w:pPr>
        <w:numPr>
          <w:ilvl w:val="0"/>
          <w:numId w:val="0"/>
        </w:numPr>
        <w:tabs>
          <w:tab w:val="left" w:pos="2800"/>
        </w:tabs>
        <w:ind w:left="640" w:leftChars="0"/>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证明</w:t>
      </w:r>
      <w:r>
        <w:rPr>
          <w:rFonts w:hint="eastAsia" w:ascii="方正小标宋简体" w:hAnsi="方正小标宋简体" w:eastAsia="方正小标宋简体" w:cs="方正小标宋简体"/>
          <w:sz w:val="40"/>
          <w:szCs w:val="40"/>
        </w:rPr>
        <w:t>材料</w:t>
      </w:r>
      <w:r>
        <w:rPr>
          <w:rFonts w:hint="eastAsia" w:ascii="方正小标宋简体" w:hAnsi="方正小标宋简体" w:eastAsia="方正小标宋简体" w:cs="方正小标宋简体"/>
          <w:sz w:val="40"/>
          <w:szCs w:val="40"/>
          <w:lang w:eastAsia="zh-CN"/>
        </w:rPr>
        <w:t>提交清单</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（一）采购项目报价单；</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（二）有效证照等证明文件；</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（三）授权书（若有，需要提供授权事项、授权人和被授权人身份证信息以及身份证复印件等）；</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（四）政府采购法第二十二条规定条件相关材料；</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1.具有独立承担民事责任的能力声明函；</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2.财务状况报告（财务报告或资信证明）；</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3.具备履行合同所必需设备和专业技术能力的声明函；</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4.依法缴纳税收证明材料；</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5.依法缴纳社会保障资金证明材料；</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6.参加采购活动前三年内没有重大违法记录书面声明。</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（五）联合体声明（若有）；</w:t>
      </w:r>
    </w:p>
    <w:p>
      <w:pPr>
        <w:keepNext w:val="0"/>
        <w:keepLines w:val="0"/>
        <w:pageBreakBefore w:val="0"/>
        <w:widowControl w:val="0"/>
        <w:tabs>
          <w:tab w:val="left" w:pos="2800"/>
        </w:tabs>
        <w:kinsoku/>
        <w:wordWrap/>
        <w:overflowPunct/>
        <w:topLinePunct w:val="0"/>
        <w:autoSpaceDE/>
        <w:autoSpaceDN/>
        <w:bidi w:val="0"/>
        <w:adjustRightInd/>
        <w:snapToGrid/>
        <w:spacing w:line="560" w:lineRule="exact"/>
        <w:ind w:firstLine="640" w:firstLineChars="200"/>
        <w:textAlignment w:val="auto"/>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（六）《采购内容及要求》响应文件，具体如下：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val="en-US" w:eastAsia="zh-CN"/>
        </w:rPr>
        <w:t>1.</w:t>
      </w:r>
      <w:r>
        <w:rPr>
          <w:rFonts w:hint="eastAsia" w:ascii="楷体_GB2312" w:hAnsi="楷体_GB2312" w:eastAsia="楷体_GB2312" w:cs="楷体_GB2312"/>
          <w:b/>
          <w:bCs/>
          <w:color w:val="000000"/>
          <w:kern w:val="0"/>
          <w:sz w:val="32"/>
          <w:szCs w:val="32"/>
          <w:lang w:eastAsia="zh-CN"/>
        </w:rPr>
        <w:t>设备清单</w:t>
      </w:r>
    </w:p>
    <w:tbl>
      <w:tblPr>
        <w:tblStyle w:val="4"/>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309"/>
        <w:gridCol w:w="1295"/>
        <w:gridCol w:w="1516"/>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序号</w:t>
            </w:r>
          </w:p>
        </w:tc>
        <w:tc>
          <w:tcPr>
            <w:tcW w:w="33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项目名称</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数量</w:t>
            </w: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单价(万元)</w:t>
            </w: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金额</w:t>
            </w:r>
            <w:r>
              <w:rPr>
                <w:rFonts w:hint="eastAsia" w:ascii="仿宋_GB2312" w:hAnsi="仿宋_GB2312" w:eastAsia="仿宋_GB2312" w:cs="仿宋_GB2312"/>
                <w:kern w:val="2"/>
                <w:sz w:val="32"/>
                <w:szCs w:val="3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w:t>
            </w:r>
          </w:p>
        </w:tc>
        <w:tc>
          <w:tcPr>
            <w:tcW w:w="33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便携式接收机</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kern w:val="2"/>
                <w:sz w:val="32"/>
                <w:szCs w:val="32"/>
                <w:highlight w:val="none"/>
                <w:lang w:eastAsia="zh-CN"/>
              </w:rPr>
              <w:t>台</w:t>
            </w: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eastAsia="zh-CN"/>
              </w:rPr>
            </w:pP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2</w:t>
            </w:r>
          </w:p>
        </w:tc>
        <w:tc>
          <w:tcPr>
            <w:tcW w:w="33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手持定向天线套装</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kern w:val="2"/>
                <w:sz w:val="32"/>
                <w:szCs w:val="32"/>
                <w:highlight w:val="none"/>
                <w:lang w:eastAsia="zh-CN"/>
              </w:rPr>
              <w:t>套</w:t>
            </w: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rPr>
            </w:pP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3</w:t>
            </w:r>
          </w:p>
        </w:tc>
        <w:tc>
          <w:tcPr>
            <w:tcW w:w="33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附属配件</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kern w:val="2"/>
                <w:sz w:val="32"/>
                <w:szCs w:val="32"/>
                <w:highlight w:val="none"/>
                <w:lang w:eastAsia="zh-CN"/>
              </w:rPr>
              <w:t>批</w:t>
            </w: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w:t>
            </w:r>
          </w:p>
        </w:tc>
        <w:tc>
          <w:tcPr>
            <w:tcW w:w="33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其他（若有）</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合计</w:t>
            </w: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center"/>
              <w:rPr>
                <w:rFonts w:hint="default" w:ascii="仿宋_GB2312" w:hAnsi="仿宋_GB2312" w:eastAsia="仿宋_GB2312" w:cs="仿宋_GB2312"/>
                <w:kern w:val="2"/>
                <w:sz w:val="32"/>
                <w:szCs w:val="32"/>
                <w:highlight w:val="none"/>
                <w:lang w:val="en-US" w:eastAsia="zh-CN"/>
              </w:rPr>
            </w:pPr>
          </w:p>
        </w:tc>
      </w:tr>
    </w:tbl>
    <w:p>
      <w:pPr>
        <w:rPr>
          <w:rFonts w:hint="eastAsia"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br w:type="page"/>
      </w:r>
    </w:p>
    <w:p>
      <w:pPr>
        <w:tabs>
          <w:tab w:val="left" w:pos="2800"/>
        </w:tabs>
        <w:ind w:firstLine="643" w:firstLineChars="200"/>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2.采购内容及要求响应表</w:t>
      </w:r>
    </w:p>
    <w:tbl>
      <w:tblPr>
        <w:tblStyle w:val="5"/>
        <w:tblW w:w="8945"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991"/>
        <w:gridCol w:w="167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章节</w:t>
            </w:r>
          </w:p>
        </w:tc>
        <w:tc>
          <w:tcPr>
            <w:tcW w:w="4991"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内容及要求</w:t>
            </w:r>
          </w:p>
        </w:tc>
        <w:tc>
          <w:tcPr>
            <w:tcW w:w="1675"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响应情况</w:t>
            </w:r>
          </w:p>
        </w:tc>
        <w:tc>
          <w:tcPr>
            <w:tcW w:w="867"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1412" w:type="dxa"/>
            <w:vMerge w:val="restart"/>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r>
              <w:rPr>
                <w:rFonts w:hint="eastAsia" w:ascii="黑体" w:hAnsi="黑体" w:eastAsia="黑体" w:cs="黑体"/>
                <w:b w:val="0"/>
                <w:bCs w:val="0"/>
                <w:sz w:val="24"/>
                <w:szCs w:val="32"/>
                <w:lang w:val="en-US" w:eastAsia="zh-CN"/>
              </w:rPr>
              <w:t>三、项目技术和功能要求</w:t>
            </w:r>
          </w:p>
        </w:tc>
        <w:tc>
          <w:tcPr>
            <w:tcW w:w="4991" w:type="dxa"/>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（一）基本要求</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该系统需符合《省级无线电监测设施技术要求及建设规范（试行）》中关于二类便携式接收机功能和指标要求，具备良好的动态性能和监测灵敏度。应具备4小时以上连续工作能力，采用移动存储媒介提高数据存储能力，至少应具备10GB以上存储能力。</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pPr>
          </w:p>
        </w:tc>
        <w:tc>
          <w:tcPr>
            <w:tcW w:w="4991" w:type="dxa"/>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楷体_GB2312" w:hAnsi="楷体_GB2312" w:eastAsia="楷体_GB2312" w:cs="楷体_GB2312"/>
                <w:b/>
                <w:bCs/>
                <w:color w:val="000000"/>
                <w:kern w:val="0"/>
                <w:sz w:val="24"/>
                <w:szCs w:val="24"/>
                <w:lang w:eastAsia="zh-CN"/>
              </w:rPr>
            </w:pPr>
            <w:r>
              <w:rPr>
                <w:rFonts w:hint="eastAsia" w:ascii="楷体_GB2312" w:hAnsi="楷体_GB2312" w:eastAsia="楷体_GB2312" w:cs="楷体_GB2312"/>
                <w:b/>
                <w:bCs/>
                <w:color w:val="000000"/>
                <w:kern w:val="0"/>
                <w:sz w:val="24"/>
                <w:szCs w:val="24"/>
                <w:lang w:eastAsia="zh-CN"/>
              </w:rPr>
              <w:t>（二）系统功能要求</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主要功能</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（1）基本监测功能：频率测量、电平测量、场强和功率通量密度测量、占用带宽测量、调制测量、频率使用率测量、来波方向测量等；</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（2）具备常见信号的解调与简易分析功能。</w:t>
            </w:r>
          </w:p>
        </w:tc>
        <w:tc>
          <w:tcPr>
            <w:tcW w:w="1675" w:type="dxa"/>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p>
        </w:tc>
        <w:tc>
          <w:tcPr>
            <w:tcW w:w="867" w:type="dxa"/>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楷体_GB2312" w:hAnsi="楷体_GB2312" w:eastAsia="楷体_GB2312" w:cs="楷体_GB2312"/>
                <w:b/>
                <w:bCs/>
                <w:color w:val="000000"/>
                <w:kern w:val="0"/>
                <w:sz w:val="24"/>
                <w:szCs w:val="24"/>
                <w:lang w:eastAsia="zh-CN"/>
              </w:rPr>
            </w:pPr>
            <w:r>
              <w:rPr>
                <w:rFonts w:hint="eastAsia" w:ascii="楷体_GB2312" w:hAnsi="楷体_GB2312" w:eastAsia="楷体_GB2312" w:cs="楷体_GB2312"/>
                <w:b/>
                <w:bCs/>
                <w:color w:val="000000"/>
                <w:kern w:val="0"/>
                <w:sz w:val="24"/>
                <w:szCs w:val="24"/>
                <w:lang w:val="en-US" w:eastAsia="zh-CN"/>
              </w:rPr>
              <w:t>（三）系统</w:t>
            </w:r>
            <w:r>
              <w:rPr>
                <w:rFonts w:hint="eastAsia" w:ascii="楷体_GB2312" w:hAnsi="楷体_GB2312" w:eastAsia="楷体_GB2312" w:cs="楷体_GB2312"/>
                <w:b/>
                <w:bCs/>
                <w:color w:val="000000"/>
                <w:kern w:val="0"/>
                <w:sz w:val="24"/>
                <w:szCs w:val="24"/>
                <w:lang w:eastAsia="zh-CN"/>
              </w:rPr>
              <w:t>技术指标要求</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频率范围</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30MHz~8GHz（可扩展至18GHz）</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实时中频带宽</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≥20MHz</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监测灵敏度（带宽25kHz）</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≤－105dBm（FFM模式）</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≤－100dBm（PSCAN模式）</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left="1440" w:hanging="1440" w:hangingChars="600"/>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解调灵敏度</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≤－105dBm（调频20dB SINAD）≤－110dBm（调幅12dB SINAD）</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频率测量精度</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（0℃－45℃）</w:t>
            </w:r>
            <w:r>
              <w:rPr>
                <w:rFonts w:hint="eastAsia" w:ascii="仿宋_GB2312" w:eastAsia="仿宋_GB2312" w:cs="DejaVuSans"/>
                <w:color w:val="000000"/>
                <w:kern w:val="0"/>
                <w:sz w:val="24"/>
                <w:szCs w:val="24"/>
              </w:rPr>
              <w:tab/>
            </w:r>
            <w:r>
              <w:rPr>
                <w:rFonts w:hint="eastAsia" w:ascii="仿宋_GB2312" w:eastAsia="仿宋_GB2312" w:cs="DejaVuSans"/>
                <w:color w:val="000000"/>
                <w:kern w:val="0"/>
                <w:sz w:val="24"/>
                <w:szCs w:val="24"/>
              </w:rPr>
              <w:t>≤±1×10</w:t>
            </w:r>
            <w:r>
              <w:rPr>
                <w:rFonts w:hint="eastAsia" w:ascii="仿宋_GB2312" w:eastAsia="仿宋_GB2312" w:cs="DejaVuSans"/>
                <w:color w:val="000000"/>
                <w:kern w:val="0"/>
                <w:sz w:val="24"/>
                <w:szCs w:val="24"/>
                <w:vertAlign w:val="superscript"/>
              </w:rPr>
              <w:t>－6</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扫描速度</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（25kHz步进）</w:t>
            </w:r>
            <w:r>
              <w:rPr>
                <w:rFonts w:hint="eastAsia" w:ascii="仿宋_GB2312" w:eastAsia="仿宋_GB2312" w:cs="DejaVuSans"/>
                <w:color w:val="000000"/>
                <w:kern w:val="0"/>
                <w:sz w:val="24"/>
                <w:szCs w:val="24"/>
              </w:rPr>
              <w:tab/>
            </w:r>
            <w:r>
              <w:rPr>
                <w:rFonts w:hint="eastAsia" w:ascii="仿宋_GB2312" w:eastAsia="仿宋_GB2312" w:cs="DejaVuSans"/>
                <w:color w:val="000000"/>
                <w:kern w:val="0"/>
                <w:sz w:val="24"/>
                <w:szCs w:val="24"/>
              </w:rPr>
              <w:t>≥20GHz/s</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二阶截断点</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（低失真模式）≥40dBm （30~6000MHz）</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三阶截断点</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（低失真模式）≥5dBm （30~6000MHz）</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调制测量能力</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AM、FM、CW、ASK、PSK、DPSK、QAM、FSK、MSK 等</w:t>
            </w:r>
            <w:r>
              <w:rPr>
                <w:rFonts w:hint="eastAsia" w:ascii="仿宋_GB2312" w:eastAsia="仿宋_GB2312" w:cs="DejaVuSans"/>
                <w:color w:val="00000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_GB2312" w:eastAsia="仿宋_GB2312" w:cs="DejaVuSans"/>
                <w:color w:val="000000"/>
                <w:kern w:val="0"/>
                <w:sz w:val="24"/>
                <w:szCs w:val="24"/>
                <w:lang w:eastAsia="zh-CN"/>
              </w:rPr>
            </w:pPr>
            <w:r>
              <w:rPr>
                <w:rFonts w:hint="eastAsia" w:ascii="仿宋_GB2312" w:eastAsia="仿宋_GB2312" w:cs="DejaVuSans"/>
                <w:color w:val="000000"/>
                <w:kern w:val="0"/>
                <w:sz w:val="24"/>
                <w:szCs w:val="24"/>
              </w:rPr>
              <w:t>100% POI（截获概率）</w:t>
            </w:r>
            <w:r>
              <w:rPr>
                <w:rFonts w:hint="eastAsia" w:ascii="仿宋_GB2312" w:eastAsia="仿宋_GB2312" w:cs="DejaVuSans"/>
                <w:color w:val="000000"/>
                <w:kern w:val="0"/>
                <w:sz w:val="24"/>
                <w:szCs w:val="24"/>
                <w:lang w:eastAsia="zh-CN"/>
              </w:rPr>
              <w:t>：</w:t>
            </w:r>
            <w:r>
              <w:rPr>
                <w:rFonts w:hint="eastAsia" w:ascii="仿宋_GB2312" w:eastAsia="仿宋_GB2312" w:cs="DejaVuSans"/>
                <w:color w:val="000000"/>
                <w:kern w:val="0"/>
                <w:sz w:val="24"/>
                <w:szCs w:val="24"/>
              </w:rPr>
              <w:t>5μs</w:t>
            </w:r>
            <w:r>
              <w:rPr>
                <w:rFonts w:hint="eastAsia" w:ascii="仿宋_GB2312" w:eastAsia="仿宋_GB2312" w:cs="DejaVuSans"/>
                <w:color w:val="000000"/>
                <w:kern w:val="0"/>
                <w:sz w:val="24"/>
                <w:szCs w:val="24"/>
                <w:lang w:eastAsia="zh-CN"/>
              </w:rPr>
              <w:t>。</w:t>
            </w:r>
          </w:p>
        </w:tc>
        <w:tc>
          <w:tcPr>
            <w:tcW w:w="1675"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（四）具体功能要求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1.手持式方向性天线套装要求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（1）频率范围：3MHz-33GHz,内置低噪声放大器，可分段实现（自动识别天线模块）。</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（2）单付天线操作重量：≤1kg。</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（3）天线内置GPS和电子罗盘模块，电子罗盘可用数据：方位和仰角。</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（4）内置电池供电，可切换有源无源模式。极化方式：垂直/水平极化（自动识别）。</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2.系统主要功能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（1）具备中频解调带宽多档可选并内置可手动及自动调节的衰减器。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（2）自检功能。自检设置在设备操作界面内，有专门的菜单，测试设备内部硬件测试点状态，并给出测试结果。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（3）中频频谱分析、时域分析等功能，测量功能包括频率测量、频差测量和带宽测量等。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（4）测向定位功能。可与手持式方向性天线配合使用，实现对近距离到中等距离的目标进行移动测向；结合测试位置的GPS信息，多次测试后能够在电子地图上进行交汇定位，定位结果可以显示在电子地图上。</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（5）电平分布测量及显示功能。在徒步或车载（有天窗的汽车）使用时，能够进行电平地域分布测量。具有频谱、多彩频谱和瀑布图显示；在解调带宽内，可以自动将峰值点搬移到中心频点，即接收机频点。</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6）峰值搜索和标记功能。可在屏幕显示的频段范围内，左右选择峰值点，方便查找信号，支持最大保持峰值搜索和实时频谱峰值搜索；标记（MARKER），支持垂直标记、水平标记；多轨迹显示；支持常规、平均、最大保持、最小保持显示频谱信息。</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（7）记录和回放功能。测量数据可存储于接收机内置或外置的存储介质；能够在设备内部记录解调音频和频谱图并回放；并支持导出文件和重放。</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（8）控制和系统管理。具有LAN和USB控制和数据接口，可实现在设备上直接操作，也可通过LAN接口由外部系统软件进行远程操作；具有局域网管理、时间和日期设置等功能。具有GPS定位信息。支持电子地图显示。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（9）重叠信号和脉冲信号区分功能。应用多彩频谱显示用常规方法 (频谱，最大值保持，瀑布图) 不能区分的重叠信号和脉冲信号，以不同着色显示信号出现频繁情况。</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（10）具有门控测量功能，支持TDD信号等时分信号分离。</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（11）具备零跨频时域分析能力。</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（12）监测接收机支持静噪门限调整，满足增益控制要求。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（13）具备FFT检波能力。</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（14）具有射频模式选择功能，能够显示连接天线信息以及频谱态势和瀑布图暂停和回放功能。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3.其他要求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w:t>
            </w:r>
            <w:r>
              <w:rPr>
                <w:rFonts w:hint="eastAsia" w:ascii="仿宋_GB2312" w:eastAsia="仿宋_GB2312" w:cs="DejaVuSans"/>
                <w:b w:val="0"/>
                <w:bCs w:val="0"/>
                <w:color w:val="000000"/>
                <w:kern w:val="0"/>
                <w:sz w:val="24"/>
                <w:szCs w:val="24"/>
                <w:lang w:eastAsia="zh-CN"/>
              </w:rPr>
              <w:t>监测接收机</w:t>
            </w:r>
            <w:r>
              <w:rPr>
                <w:rFonts w:hint="eastAsia" w:ascii="仿宋_GB2312" w:eastAsia="仿宋_GB2312" w:cs="DejaVuSans"/>
                <w:b w:val="0"/>
                <w:bCs w:val="0"/>
                <w:color w:val="000000"/>
                <w:kern w:val="0"/>
                <w:sz w:val="24"/>
                <w:szCs w:val="24"/>
              </w:rPr>
              <w:t>应遵循坚固、紧凑、小巧、轻量的设计理念，具有体积小、功耗低、使用简便等特点，便于单兵开展手持监测测向，独立完成信号测向和分析，定位信号源。尺寸（W×H×D）：≤350 mm×200mm×80mm；重量（包含电池）：≤3.5kg。</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（2）需具备兼容并适配我局已有便携式监测天线（利旧）能力，能够与已有便携式监测天线组成监测测向系统，确保设备功能正常实现。</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（3）供电系统配备需配置电池2个（一主一备），电源支持交流和直流供电方式，另需配备一个12V车载电源适配器。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4）交付时须提供产品经具有CMA或CNAS资质的第三方检测机构出具的测试报告，测试报告上须带有CMA或CNAS标志。投标人需承诺选取的第三方测试验证机构符合工业和信息化部《无线电监测设施测试验证工作规定（试行）》（工信部无〔2017〕283号）有关规定，并征得采购人书面认可。第三方检测机构按（GB/T32401-2015）《VHF/UHF频段无线电监测接收机技术要求及测试方法》要求出具正式检测报告，报告内容需包括实际交付清单（含设备序列号）所列便携式无线电监测设备主要指标：包括但不限于监测灵敏度、解调灵敏度、电平测量误差、频率准确度（频率稳定度）、二阶截断点、三阶截断点、中频抑制、镜频抑制、扫描速度、杂散发射等指标的测试结果数据，检测报告上须带有CMA或CNAS标志。</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采购人有权委托具有CMA或CNAS资质的第三方检测机构对部分功能和指标参数进行抽测，并以抽测结果是否合格作为是否进行验收的依据。测试验证、功能和指标参数抽测等性能测试费用由投标人承担，含在投标总价中。</w:t>
            </w:r>
          </w:p>
        </w:tc>
        <w:tc>
          <w:tcPr>
            <w:tcW w:w="1675"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trPr>
        <w:tc>
          <w:tcPr>
            <w:tcW w:w="1412" w:type="dxa"/>
            <w:vMerge w:val="restart"/>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r>
              <w:rPr>
                <w:rFonts w:hint="eastAsia" w:ascii="黑体" w:hAnsi="黑体" w:eastAsia="黑体" w:cs="黑体"/>
                <w:b w:val="0"/>
                <w:bCs w:val="0"/>
                <w:color w:val="000000"/>
                <w:kern w:val="0"/>
                <w:sz w:val="24"/>
                <w:szCs w:val="24"/>
              </w:rPr>
              <w:t>四、项目其他要求</w:t>
            </w:r>
          </w:p>
        </w:tc>
        <w:tc>
          <w:tcPr>
            <w:tcW w:w="4991" w:type="dxa"/>
            <w:tcBorders/>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1.交货时间要求</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合同签订后30个日历日内完成到货验收，到货验收后试运行不少于30*24小时，试运行结束（试运行无故障或已完成试运行整改工作）后开展竣工验收（合同、初步和竣工验收合并进行）。</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trPr>
        <w:tc>
          <w:tcPr>
            <w:tcW w:w="1412" w:type="dxa"/>
            <w:vMerge w:val="continue"/>
            <w:vAlign w:val="center"/>
          </w:tcPr>
          <w:p>
            <w:pPr>
              <w:keepNext w:val="0"/>
              <w:keepLines w:val="0"/>
              <w:pageBreakBefore w:val="0"/>
              <w:widowControl w:val="0"/>
              <w:kinsoku/>
              <w:wordWrap/>
              <w:overflowPunct/>
              <w:topLinePunct w:val="0"/>
              <w:bidi w:val="0"/>
              <w:snapToGrid/>
              <w:spacing w:line="360" w:lineRule="exact"/>
              <w:ind w:firstLine="420" w:firstLineChars="200"/>
              <w:textAlignment w:val="auto"/>
            </w:pPr>
          </w:p>
        </w:tc>
        <w:tc>
          <w:tcPr>
            <w:tcW w:w="4991" w:type="dxa"/>
            <w:tcBorders/>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2.履约验收方式</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（1）到货验收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 xml:space="preserve">依据《无线电监测设施测试验证工作规定（试行）》（工信部无﹝2017﹞283号）和《福建省工业和信息化厅关于印发无线电基础和技术设施建设项目管理办法的通知》（闽工信函频管﹝2023﹞417号）相关要求及招投标文件、合同等有关内容进行验收。验收小组由采购人、中标人的人员组成。全部货物到达中标人集成地（含检测场所）或采购人指定地点后，中标人和采购人一同对全部货物的数量、型号、基本质量进行到货点验。随同货物应提供供货证明、设备质量合格证、具有具 CMA或CNAS资质的第三方检测机构按 GB/T32401-2015《VHF/UHF频段无线电监测接收机技术要求及频段无线电监测接收机技术要求及测试方法》出具的本项目交付清单（含设备序列号）中所列便携式无线电监测设备正式检测报告，检测费用由中标人承担。 </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中标人按招标文件、合同等有关内容完成货物的安装和调试，中标人申请进行到货验收。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到货验收如果不合格，中标人进行为期15个日历日的整改后再次组织到货验收。再次到货验收不合格的，采购人有权解除采购合同，并要求中标人赔偿损失以及保留更换中标人或重新采购的权力，并将相关情况报相关行政主管部门处理。</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竣工验收（合同、初步和竣工验收合并进行）：按照国家无线电管理（技术）机构规定及《福建省工业和信息化厅关于印发无线电基础和技术设施建设项目管理办法的通知》（闽工信函频管﹝2023﹞417号）要求，到货验收后，进行不少于30*24小时试运行（操作使用）。试运行（操作使用）无故障或已完成试运行整改工作，提交完备的项目竣工相关文档（包括但不限于设备的安装、运行、使用、测试、诊断、软硬件设备的安装指南和维修的技术文件）、备份的资料、采集的数据（如实施文档、配置文档、拓扑图、施工效果图等）等材料，交由采购人组织专家组进行竣工验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（3）各验收环节所涉及的费用，包含且不限于交通运输、安装、测试、专家评审等，均由中标人承担。</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c>
          <w:tcPr>
            <w:tcW w:w="1675" w:type="dxa"/>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c>
          <w:tcPr>
            <w:tcW w:w="867" w:type="dxa"/>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trPr>
        <w:tc>
          <w:tcPr>
            <w:tcW w:w="1412" w:type="dxa"/>
            <w:vMerge w:val="continue"/>
            <w:vAlign w:val="center"/>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c>
          <w:tcPr>
            <w:tcW w:w="4991" w:type="dxa"/>
            <w:tcBorders/>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3.合同支付方式</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1）到货验收合格后，双方签署到货验收报告且中标人开具合同金额100%的正式发票给采购人，本项目为财政支付项目，采购人须遵守财政支付规定，按照合同按期及时付款，达到付款条件起10日内，支付合同总金额的90.00%。</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r>
              <w:rPr>
                <w:rFonts w:hint="eastAsia" w:ascii="仿宋_GB2312" w:eastAsia="仿宋_GB2312" w:cs="DejaVuSans"/>
                <w:b w:val="0"/>
                <w:bCs w:val="0"/>
                <w:color w:val="000000"/>
                <w:kern w:val="0"/>
                <w:sz w:val="24"/>
                <w:szCs w:val="24"/>
              </w:rPr>
              <w:t>（2）竣工验收（合同、初步和竣工验收合并）合格后，双方签署竣工验收报告，本项目为财政支付项目，采购人须遵守财政支付规定，达到付款条件起10日内，支付合同总金额的10.00%。</w:t>
            </w:r>
          </w:p>
        </w:tc>
        <w:tc>
          <w:tcPr>
            <w:tcW w:w="1675" w:type="dxa"/>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c>
          <w:tcPr>
            <w:tcW w:w="867" w:type="dxa"/>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b w:val="0"/>
                <w:bCs w:val="0"/>
                <w:color w:val="000000"/>
                <w:kern w:val="0"/>
                <w:sz w:val="24"/>
                <w:szCs w:val="24"/>
              </w:rPr>
            </w:pPr>
          </w:p>
        </w:tc>
      </w:tr>
    </w:tbl>
    <w:p>
      <w:pPr>
        <w:tabs>
          <w:tab w:val="left" w:pos="2800"/>
        </w:tabs>
      </w:pPr>
      <w:r>
        <w:rPr>
          <w:rFonts w:hint="eastAsia" w:ascii="仿宋_GB2312" w:hAnsi="等线" w:eastAsia="仿宋_GB2312" w:cs="Times New Roman"/>
          <w:sz w:val="32"/>
          <w:szCs w:val="32"/>
          <w:lang w:val="en-US" w:eastAsia="zh-CN"/>
        </w:rPr>
        <w:t xml:space="preserve">（七）其他证明文件。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33E1A1-0FB8-40BC-89C9-81D6C0CACC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00000000" w:usb1="00000000" w:usb2="00000000" w:usb3="00000000" w:csb0="00000000" w:csb1="00000000"/>
    <w:embedRegular r:id="rId2" w:fontKey="{01BBE7F9-6565-4488-A958-DBF50E842CB5}"/>
  </w:font>
  <w:font w:name="仿宋_GB2312">
    <w:panose1 w:val="02010609030101010101"/>
    <w:charset w:val="86"/>
    <w:family w:val="modern"/>
    <w:pitch w:val="default"/>
    <w:sig w:usb0="00000001" w:usb1="080E0000" w:usb2="00000000" w:usb3="00000000" w:csb0="00040000" w:csb1="00000000"/>
    <w:embedRegular r:id="rId3" w:fontKey="{B47BAAC1-8C59-4BEF-A0D4-DA3E7C84F72C}"/>
  </w:font>
  <w:font w:name="方正小标宋简体">
    <w:panose1 w:val="03000509000000000000"/>
    <w:charset w:val="86"/>
    <w:family w:val="script"/>
    <w:pitch w:val="default"/>
    <w:sig w:usb0="00000001" w:usb1="080E0000" w:usb2="00000000" w:usb3="00000000" w:csb0="00040000" w:csb1="00000000"/>
    <w:embedRegular r:id="rId4" w:fontKey="{FC993AE0-C2A3-4B6E-86CD-BD8FC76DF5A7}"/>
  </w:font>
  <w:font w:name="等线">
    <w:altName w:val="微软雅黑"/>
    <w:panose1 w:val="02010600030101010101"/>
    <w:charset w:val="86"/>
    <w:family w:val="auto"/>
    <w:pitch w:val="default"/>
    <w:sig w:usb0="00000000" w:usb1="00000000" w:usb2="00000000" w:usb3="00000000" w:csb0="00000000" w:csb1="00000000"/>
    <w:embedRegular r:id="rId5" w:fontKey="{0693B22F-E836-473F-9CA1-146031CED172}"/>
  </w:font>
  <w:font w:name="楷体_GB2312">
    <w:panose1 w:val="02010609030101010101"/>
    <w:charset w:val="86"/>
    <w:family w:val="auto"/>
    <w:pitch w:val="default"/>
    <w:sig w:usb0="00000001" w:usb1="080E0000" w:usb2="00000000" w:usb3="00000000" w:csb0="00040000" w:csb1="00000000"/>
    <w:embedRegular r:id="rId6" w:fontKey="{4E69A739-AC9C-4A8D-AC3C-1C200B6A502D}"/>
  </w:font>
  <w:font w:name="DejaVuSans">
    <w:altName w:val="宋体"/>
    <w:panose1 w:val="00000000000000000000"/>
    <w:charset w:val="86"/>
    <w:family w:val="auto"/>
    <w:pitch w:val="default"/>
    <w:sig w:usb0="00000000" w:usb1="00000000" w:usb2="00000010" w:usb3="00000000" w:csb0="00040000" w:csb1="00000000"/>
    <w:embedRegular r:id="rId7" w:fontKey="{F427026D-8954-4A01-9BC2-5AFB07B8641A}"/>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050332A1"/>
    <w:rsid w:val="0D6D792D"/>
    <w:rsid w:val="2224018F"/>
    <w:rsid w:val="30981387"/>
    <w:rsid w:val="4A9A1C7D"/>
    <w:rsid w:val="59303549"/>
    <w:rsid w:val="5CE7570D"/>
    <w:rsid w:val="5D6965C0"/>
    <w:rsid w:val="66A23F66"/>
    <w:rsid w:val="71DA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2225</Words>
  <Characters>2388</Characters>
  <Lines>0</Lines>
  <Paragraphs>0</Paragraphs>
  <TotalTime>949</TotalTime>
  <ScaleCrop>false</ScaleCrop>
  <LinksUpToDate>false</LinksUpToDate>
  <CharactersWithSpaces>2452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卢建锋3</cp:lastModifiedBy>
  <dcterms:modified xsi:type="dcterms:W3CDTF">2025-11-07T00:16:04Z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eyJoZGlkIjoiOTY2YjU3Njg1N2U0ZTIxZDQ3Nzk2ZTBiYzBiNWNmZWQiLCJ1c2VySWQiOiI0ODg4ODkyNjkifQ==</vt:lpwstr>
  </property>
  <property fmtid="{D5CDD505-2E9C-101B-9397-08002B2CF9AE}" pid="4" name="ICV">
    <vt:lpwstr>F9015BF2DA4B4A9AB9B6011F81ADA408_13</vt:lpwstr>
  </property>
</Properties>
</file>