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52"/>
        </w:tabs>
        <w:spacing w:line="580" w:lineRule="exact"/>
        <w:jc w:val="center"/>
        <w:rPr>
          <w:rFonts w:ascii="方正小标宋简体" w:hAnsi="方正小标宋简体" w:eastAsia="方正小标宋简体" w:cs="方正小标宋简体"/>
          <w:sz w:val="44"/>
          <w:szCs w:val="44"/>
        </w:rPr>
      </w:pPr>
    </w:p>
    <w:p>
      <w:pPr>
        <w:pStyle w:val="35"/>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福建省新型显示制造业创新中心</w:t>
      </w:r>
    </w:p>
    <w:p>
      <w:pPr>
        <w:pStyle w:val="35"/>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创建实施方案</w:t>
      </w:r>
    </w:p>
    <w:p>
      <w:pPr>
        <w:pStyle w:val="2"/>
      </w:pPr>
    </w:p>
    <w:p>
      <w:pPr>
        <w:pageBreakBefore w:val="0"/>
        <w:widowControl w:val="0"/>
        <w:kinsoku/>
        <w:wordWrap/>
        <w:overflowPunct/>
        <w:topLinePunct w:val="0"/>
        <w:bidi w:val="0"/>
        <w:snapToGrid/>
        <w:spacing w:line="560" w:lineRule="exact"/>
        <w:ind w:firstLine="560" w:firstLineChars="200"/>
        <w:textAlignment w:val="auto"/>
        <w:rPr>
          <w:rFonts w:ascii="仿宋_GB2312" w:hAnsi="仿宋_GB2312" w:eastAsia="仿宋_GB2312" w:cs="仿宋_GB2312"/>
          <w:kern w:val="0"/>
          <w:sz w:val="28"/>
          <w:szCs w:val="28"/>
        </w:rPr>
      </w:pPr>
      <w:r>
        <w:rPr>
          <w:rFonts w:ascii="仿宋_GB2312" w:hAnsi="仿宋_GB2312" w:eastAsia="仿宋_GB2312" w:cs="仿宋_GB2312"/>
          <w:kern w:val="0"/>
          <w:sz w:val="28"/>
          <w:szCs w:val="28"/>
        </w:rPr>
        <w:t>新型显示产业是国民经济和社会发展的战略性、基础性和先导性产业，发展新型显示产业、锻造长板能力对我国提升创新能力，优化产业结构，促进经济社会繁荣具有重要意义。近年来，Micro-LED、OLED等显示技术蓬勃发展驱动新型显示产业加速变革，为行业发展带来新的动力。</w:t>
      </w:r>
    </w:p>
    <w:p>
      <w:pPr>
        <w:pageBreakBefore w:val="0"/>
        <w:widowControl w:val="0"/>
        <w:kinsoku/>
        <w:wordWrap/>
        <w:overflowPunct/>
        <w:topLinePunct w:val="0"/>
        <w:bidi w:val="0"/>
        <w:snapToGrid/>
        <w:spacing w:line="560" w:lineRule="exact"/>
        <w:ind w:firstLine="560" w:firstLineChars="200"/>
        <w:textAlignment w:val="auto"/>
        <w:rPr>
          <w:rFonts w:ascii="仿宋_GB2312" w:hAnsi="仿宋_GB2312" w:eastAsia="仿宋_GB2312" w:cs="仿宋_GB2312"/>
          <w:sz w:val="28"/>
          <w:szCs w:val="28"/>
        </w:rPr>
      </w:pPr>
      <w:bookmarkStart w:id="0" w:name="_Toc486691211"/>
      <w:bookmarkEnd w:id="0"/>
      <w:r>
        <w:rPr>
          <w:rFonts w:hint="eastAsia" w:ascii="仿宋_GB2312" w:hAnsi="仿宋_GB2312" w:eastAsia="仿宋_GB2312" w:cs="仿宋_GB2312"/>
          <w:kern w:val="0"/>
          <w:sz w:val="28"/>
          <w:szCs w:val="28"/>
        </w:rPr>
        <w:t>为深入实施创新驱动发展战略，</w:t>
      </w:r>
      <w:r>
        <w:rPr>
          <w:rFonts w:hint="eastAsia" w:ascii="仿宋_GB2312" w:hAnsi="仿宋_GB2312" w:eastAsia="仿宋_GB2312" w:cs="仿宋_GB2312"/>
          <w:sz w:val="28"/>
          <w:szCs w:val="28"/>
        </w:rPr>
        <w:t>推进先进制造业强省建设，落实</w:t>
      </w:r>
      <w:r>
        <w:rPr>
          <w:rFonts w:hint="eastAsia" w:ascii="仿宋_GB2312" w:hAnsi="仿宋_GB2312" w:eastAsia="仿宋_GB2312" w:cs="仿宋_GB2312"/>
          <w:kern w:val="0"/>
          <w:sz w:val="28"/>
          <w:szCs w:val="28"/>
        </w:rPr>
        <w:t>《福建省人民政府关于印发福建省“十四五”制造业高质量发展专项规划的通知》（闽政〔2021〕12号）</w:t>
      </w:r>
      <w:r>
        <w:rPr>
          <w:rFonts w:hint="eastAsia" w:ascii="仿宋_GB2312" w:hAnsi="仿宋_GB2312" w:eastAsia="仿宋_GB2312" w:cs="仿宋_GB2312"/>
          <w:sz w:val="28"/>
          <w:szCs w:val="28"/>
        </w:rPr>
        <w:t>精神，按照《福建省制造业创新中心建设管理办法（试行）》（闽工信法规〔2022〕10号）要求，深化产学研用合作，</w:t>
      </w:r>
      <w:r>
        <w:rPr>
          <w:rFonts w:hint="eastAsia" w:ascii="仿宋_GB2312" w:hAnsi="仿宋_GB2312" w:eastAsia="仿宋_GB2312" w:cs="仿宋_GB2312"/>
          <w:color w:val="000000"/>
          <w:sz w:val="28"/>
          <w:szCs w:val="28"/>
        </w:rPr>
        <w:t>加快</w:t>
      </w:r>
      <w:r>
        <w:rPr>
          <w:rFonts w:hint="eastAsia" w:ascii="仿宋_GB2312" w:hAnsi="仿宋_GB2312" w:eastAsia="仿宋_GB2312" w:cs="仿宋_GB2312"/>
          <w:sz w:val="28"/>
          <w:szCs w:val="28"/>
        </w:rPr>
        <w:t>推动新型显示产业高质量发展，现就组建“福建省新型显示制造业创新中心”提出如下方案。</w:t>
      </w:r>
    </w:p>
    <w:p>
      <w:pPr>
        <w:pStyle w:val="3"/>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sz w:val="28"/>
          <w:szCs w:val="28"/>
        </w:rPr>
      </w:pPr>
      <w:r>
        <w:rPr>
          <w:rFonts w:hint="eastAsia" w:ascii="黑体" w:hAnsi="黑体" w:eastAsia="黑体" w:cs="黑体"/>
          <w:b w:val="0"/>
          <w:bCs w:val="0"/>
          <w:sz w:val="28"/>
          <w:szCs w:val="28"/>
        </w:rPr>
        <w:t>一、总体规划</w:t>
      </w:r>
    </w:p>
    <w:p>
      <w:pPr>
        <w:pageBreakBefore w:val="0"/>
        <w:widowControl w:val="0"/>
        <w:kinsoku/>
        <w:wordWrap/>
        <w:overflowPunct/>
        <w:topLinePunct w:val="0"/>
        <w:bidi w:val="0"/>
        <w:snapToGrid/>
        <w:spacing w:line="56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近年来，福建省</w:t>
      </w:r>
      <w:r>
        <w:rPr>
          <w:rFonts w:ascii="仿宋_GB2312" w:hAnsi="仿宋_GB2312" w:eastAsia="仿宋_GB2312" w:cs="仿宋_GB2312"/>
          <w:kern w:val="0"/>
          <w:sz w:val="28"/>
          <w:szCs w:val="28"/>
        </w:rPr>
        <w:t>加快“增芯强屏”步伐</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以引进产业龙头企业为抓手</w:t>
      </w:r>
      <w:r>
        <w:rPr>
          <w:rFonts w:hint="eastAsia" w:ascii="仿宋_GB2312" w:hAnsi="仿宋_GB2312" w:eastAsia="仿宋_GB2312" w:cs="仿宋_GB2312"/>
          <w:kern w:val="0"/>
          <w:sz w:val="28"/>
          <w:szCs w:val="28"/>
        </w:rPr>
        <w:t>，新型显示产业布局更趋合理、产业链供应链强度和韧性显著增强、产业集聚不断提高。为加快推进新型工业化进程，提升新型显示产业创新能级，加快产业前沿共性关键技术攻关，推进新型显示产业链、创新链高质量发展，打造福建省新型显示产业链，厦门天马微电子有限公司联合厦门市未来显示技术研究院牵头，与泉州三安半导体科技有限公司、福州大学、泉州信息工程学院、宸鸿科技（厦门）有限公司、福建省电子信息应用技术研究院有限公司、福州恒美光电材料有限公司、厦门乾照光电股份有限公司、厦门普诚半导体科技有限公司、厦门祥福兴科技股份有限公司、厦门高光半导体材料有限公司、深圳市壹倍科技有限公司、广东普加福光电科技有限公司、厦门天马显示科技有限公司、天马新型显示技术研究院（厦门）有限公司共同发起成立福建省新型显示制造业创新中心（以下简称“创新中心”）。</w:t>
      </w:r>
    </w:p>
    <w:p>
      <w:pPr>
        <w:pageBreakBefore w:val="0"/>
        <w:widowControl w:val="0"/>
        <w:kinsoku/>
        <w:wordWrap/>
        <w:overflowPunct/>
        <w:topLinePunct w:val="0"/>
        <w:bidi w:val="0"/>
        <w:snapToGrid/>
        <w:spacing w:line="56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创新中心实施创新驱动发展战略。产业链方面，由厦门天马负责整合上下游资源，找准关键环节、集中优质资源，构建以企业为主体、市场为导向的产业协同创新机制，全面加快新型显示技术创新与产业化进程；创新链方面，由厦门市未来显示技术研究院负责集合优势科研团队，</w:t>
      </w:r>
      <w:bookmarkStart w:id="1" w:name="_GoBack"/>
      <w:bookmarkEnd w:id="1"/>
      <w:r>
        <w:rPr>
          <w:rFonts w:hint="eastAsia" w:ascii="仿宋_GB2312" w:hAnsi="仿宋_GB2312" w:eastAsia="仿宋_GB2312" w:cs="仿宋_GB2312"/>
          <w:kern w:val="0"/>
          <w:sz w:val="28"/>
          <w:szCs w:val="28"/>
        </w:rPr>
        <w:t>构建开放共享平台，全面布局前沿显示技术。通过推动高校、科研院所与上下游企业加强协同和技术合作攻关，转移并扩散重大科技成果，构建从基础到应用及成果转化完整的新型显示技术创新体系，全面加速A</w:t>
      </w:r>
      <w:r>
        <w:rPr>
          <w:rFonts w:ascii="仿宋_GB2312" w:hAnsi="仿宋_GB2312" w:eastAsia="仿宋_GB2312" w:cs="仿宋_GB2312"/>
          <w:kern w:val="0"/>
          <w:sz w:val="28"/>
          <w:szCs w:val="28"/>
        </w:rPr>
        <w:t>M</w:t>
      </w:r>
      <w:r>
        <w:rPr>
          <w:rFonts w:hint="eastAsia" w:ascii="仿宋_GB2312" w:hAnsi="仿宋_GB2312" w:eastAsia="仿宋_GB2312" w:cs="仿宋_GB2312"/>
          <w:kern w:val="0"/>
          <w:sz w:val="28"/>
          <w:szCs w:val="28"/>
        </w:rPr>
        <w:t>O</w:t>
      </w:r>
      <w:r>
        <w:rPr>
          <w:rFonts w:ascii="仿宋_GB2312" w:hAnsi="仿宋_GB2312" w:eastAsia="仿宋_GB2312" w:cs="仿宋_GB2312"/>
          <w:kern w:val="0"/>
          <w:sz w:val="28"/>
          <w:szCs w:val="28"/>
        </w:rPr>
        <w:t>LED、</w:t>
      </w:r>
      <w:r>
        <w:rPr>
          <w:rFonts w:hint="eastAsia" w:ascii="仿宋_GB2312" w:hAnsi="仿宋_GB2312" w:eastAsia="仿宋_GB2312" w:cs="仿宋_GB2312"/>
          <w:kern w:val="0"/>
          <w:sz w:val="28"/>
          <w:szCs w:val="28"/>
        </w:rPr>
        <w:t>Micro-LED等前沿共性关键技术攻关和产业化，推动我省新型显示产业与创新协同高质量发展。</w:t>
      </w:r>
    </w:p>
    <w:p>
      <w:pPr>
        <w:pStyle w:val="3"/>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sz w:val="28"/>
          <w:szCs w:val="28"/>
        </w:rPr>
      </w:pPr>
      <w:r>
        <w:rPr>
          <w:rFonts w:hint="eastAsia" w:ascii="黑体" w:hAnsi="黑体" w:eastAsia="黑体" w:cs="黑体"/>
          <w:b w:val="0"/>
          <w:bCs w:val="0"/>
          <w:sz w:val="28"/>
          <w:szCs w:val="28"/>
        </w:rPr>
        <w:t>二、发展目标</w:t>
      </w:r>
    </w:p>
    <w:p>
      <w:pPr>
        <w:pageBreakBefore w:val="0"/>
        <w:widowControl w:val="0"/>
        <w:kinsoku/>
        <w:wordWrap/>
        <w:overflowPunct/>
        <w:topLinePunct w:val="0"/>
        <w:bidi w:val="0"/>
        <w:snapToGrid/>
        <w:spacing w:line="56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创新中心将通过组织开展</w:t>
      </w:r>
      <w:r>
        <w:rPr>
          <w:rFonts w:ascii="仿宋_GB2312" w:hAnsi="仿宋_GB2312" w:eastAsia="仿宋_GB2312" w:cs="仿宋_GB2312"/>
          <w:kern w:val="0"/>
          <w:sz w:val="28"/>
          <w:szCs w:val="28"/>
        </w:rPr>
        <w:t xml:space="preserve">AMOLED、Micro-LED </w:t>
      </w:r>
      <w:r>
        <w:rPr>
          <w:rFonts w:hint="eastAsia" w:ascii="仿宋_GB2312" w:hAnsi="仿宋_GB2312" w:eastAsia="仿宋_GB2312" w:cs="仿宋_GB2312"/>
          <w:kern w:val="0"/>
          <w:sz w:val="28"/>
          <w:szCs w:val="28"/>
        </w:rPr>
        <w:t>基础前沿共性关键技术研究，推动核心关键技术突破与产业化，使其成为颠覆性和变革性的新一代主流显示技术，促进显示技术升级换代。</w:t>
      </w:r>
    </w:p>
    <w:p>
      <w:pPr>
        <w:pStyle w:val="4"/>
        <w:pageBreakBefore w:val="0"/>
        <w:widowControl w:val="0"/>
        <w:kinsoku/>
        <w:wordWrap/>
        <w:overflowPunct/>
        <w:topLinePunct w:val="0"/>
        <w:bidi w:val="0"/>
        <w:snapToGrid/>
        <w:spacing w:before="0" w:after="0" w:line="560" w:lineRule="exact"/>
        <w:ind w:left="641"/>
        <w:textAlignment w:val="auto"/>
        <w:rPr>
          <w:rFonts w:ascii="仿宋_GB2312" w:hAnsi="仿宋_GB2312" w:eastAsia="仿宋_GB2312" w:cs="仿宋_GB2312"/>
          <w:b w:val="0"/>
          <w:bCs w:val="0"/>
          <w:kern w:val="0"/>
          <w:sz w:val="28"/>
          <w:szCs w:val="28"/>
        </w:rPr>
      </w:pPr>
      <w:r>
        <w:rPr>
          <w:rFonts w:hint="eastAsia" w:ascii="黑体" w:hAnsi="黑体" w:eastAsia="黑体" w:cs="黑体"/>
          <w:b w:val="0"/>
          <w:bCs w:val="0"/>
          <w:sz w:val="28"/>
          <w:szCs w:val="28"/>
        </w:rPr>
        <w:t>（一）近期目标（202</w:t>
      </w:r>
      <w:r>
        <w:rPr>
          <w:rFonts w:ascii="黑体" w:hAnsi="黑体" w:eastAsia="黑体" w:cs="黑体"/>
          <w:b w:val="0"/>
          <w:bCs w:val="0"/>
          <w:sz w:val="28"/>
          <w:szCs w:val="28"/>
        </w:rPr>
        <w:t>4—</w:t>
      </w:r>
      <w:r>
        <w:rPr>
          <w:rFonts w:hint="eastAsia" w:ascii="黑体" w:hAnsi="黑体" w:eastAsia="黑体" w:cs="黑体"/>
          <w:b w:val="0"/>
          <w:bCs w:val="0"/>
          <w:sz w:val="28"/>
          <w:szCs w:val="28"/>
        </w:rPr>
        <w:t>202</w:t>
      </w:r>
      <w:r>
        <w:rPr>
          <w:rFonts w:ascii="黑体" w:hAnsi="黑体" w:eastAsia="黑体" w:cs="黑体"/>
          <w:b w:val="0"/>
          <w:bCs w:val="0"/>
          <w:sz w:val="28"/>
          <w:szCs w:val="28"/>
        </w:rPr>
        <w:t>5</w:t>
      </w:r>
      <w:r>
        <w:rPr>
          <w:rFonts w:hint="eastAsia" w:ascii="黑体" w:hAnsi="黑体" w:eastAsia="黑体" w:cs="黑体"/>
          <w:b w:val="0"/>
          <w:bCs w:val="0"/>
          <w:sz w:val="28"/>
          <w:szCs w:val="28"/>
        </w:rPr>
        <w:t>年）</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bCs/>
          <w:sz w:val="28"/>
          <w:szCs w:val="28"/>
        </w:rPr>
        <w:t>在前沿共性关键技术开发与产业化、知识产权方面取得初步成效。</w:t>
      </w:r>
      <w:r>
        <w:rPr>
          <w:rFonts w:hint="eastAsia" w:ascii="仿宋_GB2312" w:hAnsi="仿宋_GB2312" w:eastAsia="仿宋_GB2312" w:cs="仿宋_GB2312"/>
          <w:bCs/>
          <w:sz w:val="28"/>
          <w:szCs w:val="28"/>
        </w:rPr>
        <w:t>高效</w:t>
      </w:r>
      <w:r>
        <w:rPr>
          <w:rFonts w:hint="eastAsia" w:ascii="仿宋_GB2312" w:hAnsi="仿宋_GB2312" w:eastAsia="仿宋_GB2312" w:cs="仿宋_GB2312"/>
          <w:kern w:val="0"/>
          <w:sz w:val="28"/>
          <w:szCs w:val="28"/>
        </w:rPr>
        <w:t>推进AMOLED折叠显示屏、</w:t>
      </w:r>
      <w:r>
        <w:rPr>
          <w:rFonts w:ascii="仿宋_GB2312" w:hAnsi="仿宋_GB2312" w:eastAsia="仿宋_GB2312" w:cs="仿宋_GB2312"/>
          <w:kern w:val="0"/>
          <w:sz w:val="28"/>
          <w:szCs w:val="28"/>
        </w:rPr>
        <w:t>Micro-LED透明显示、巨量转移与键合、</w:t>
      </w:r>
      <w:r>
        <w:rPr>
          <w:rFonts w:hint="eastAsia" w:ascii="仿宋_GB2312" w:hAnsi="仿宋_GB2312" w:eastAsia="仿宋_GB2312" w:cs="仿宋_GB2312"/>
          <w:kern w:val="0"/>
          <w:sz w:val="28"/>
          <w:szCs w:val="28"/>
        </w:rPr>
        <w:t>显示外延与芯片、无缝拼接（P</w:t>
      </w:r>
      <w:r>
        <w:rPr>
          <w:rFonts w:ascii="仿宋_GB2312" w:hAnsi="仿宋_GB2312" w:eastAsia="仿宋_GB2312" w:cs="仿宋_GB2312"/>
          <w:kern w:val="0"/>
          <w:sz w:val="28"/>
          <w:szCs w:val="28"/>
        </w:rPr>
        <w:t>ID</w:t>
      </w:r>
      <w:r>
        <w:rPr>
          <w:rFonts w:hint="eastAsia" w:ascii="仿宋_GB2312" w:hAnsi="仿宋_GB2312" w:eastAsia="仿宋_GB2312" w:cs="仿宋_GB2312"/>
          <w:kern w:val="0"/>
          <w:sz w:val="28"/>
          <w:szCs w:val="28"/>
        </w:rPr>
        <w:t>）、超大容量微纳L</w:t>
      </w:r>
      <w:r>
        <w:rPr>
          <w:rFonts w:ascii="仿宋_GB2312" w:hAnsi="仿宋_GB2312" w:eastAsia="仿宋_GB2312" w:cs="仿宋_GB2312"/>
          <w:kern w:val="0"/>
          <w:sz w:val="28"/>
          <w:szCs w:val="28"/>
        </w:rPr>
        <w:t>ED显示、投影及近视显示模组、</w:t>
      </w:r>
      <w:r>
        <w:rPr>
          <w:rFonts w:hint="eastAsia" w:ascii="仿宋_GB2312" w:hAnsi="仿宋_GB2312" w:eastAsia="仿宋_GB2312" w:cs="仿宋_GB2312"/>
          <w:kern w:val="0"/>
          <w:sz w:val="28"/>
          <w:szCs w:val="28"/>
        </w:rPr>
        <w:t>晶圆级巨量检测的PL光致发光等前沿共性技术开发，形成</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项（含）以上科研成果并完成转化，累计申请相关专利</w:t>
      </w:r>
      <w:r>
        <w:rPr>
          <w:rFonts w:ascii="仿宋_GB2312" w:hAnsi="仿宋_GB2312" w:eastAsia="仿宋_GB2312" w:cs="仿宋_GB2312"/>
          <w:kern w:val="0"/>
          <w:sz w:val="28"/>
          <w:szCs w:val="28"/>
        </w:rPr>
        <w:t>60</w:t>
      </w:r>
      <w:r>
        <w:rPr>
          <w:rFonts w:hint="eastAsia" w:ascii="仿宋_GB2312" w:hAnsi="仿宋_GB2312" w:eastAsia="仿宋_GB2312" w:cs="仿宋_GB2312"/>
          <w:kern w:val="0"/>
          <w:sz w:val="28"/>
          <w:szCs w:val="28"/>
        </w:rPr>
        <w:t>项以上。</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b/>
          <w:sz w:val="28"/>
          <w:szCs w:val="28"/>
        </w:rPr>
        <w:t>产业资源、信息高效共享与协同，平台建设方面取得关键进展。</w:t>
      </w:r>
      <w:r>
        <w:rPr>
          <w:rFonts w:hint="eastAsia" w:ascii="仿宋_GB2312" w:hAnsi="仿宋_GB2312" w:eastAsia="仿宋_GB2312" w:cs="仿宋_GB2312"/>
          <w:kern w:val="0"/>
          <w:sz w:val="28"/>
          <w:szCs w:val="28"/>
        </w:rPr>
        <w:t>紧密围绕新型显示产业链发展需要，加快整合产业创新资源，建立产学研用</w:t>
      </w:r>
      <w:r>
        <w:rPr>
          <w:rFonts w:ascii="仿宋_GB2312" w:hAnsi="仿宋_GB2312" w:eastAsia="仿宋_GB2312" w:cs="仿宋_GB2312"/>
          <w:kern w:val="0"/>
          <w:sz w:val="28"/>
          <w:szCs w:val="28"/>
        </w:rPr>
        <w:t>创新资源数据库</w:t>
      </w:r>
      <w:r>
        <w:rPr>
          <w:rFonts w:hint="eastAsia" w:ascii="仿宋_GB2312" w:hAnsi="仿宋_GB2312" w:eastAsia="仿宋_GB2312" w:cs="仿宋_GB2312"/>
          <w:kern w:val="0"/>
          <w:sz w:val="28"/>
          <w:szCs w:val="28"/>
        </w:rPr>
        <w:t>，强化</w:t>
      </w:r>
      <w:r>
        <w:rPr>
          <w:rFonts w:ascii="仿宋_GB2312" w:hAnsi="仿宋_GB2312" w:eastAsia="仿宋_GB2312" w:cs="仿宋_GB2312"/>
          <w:kern w:val="0"/>
          <w:sz w:val="28"/>
          <w:szCs w:val="28"/>
        </w:rPr>
        <w:t>共享和协同管理</w:t>
      </w:r>
      <w:r>
        <w:rPr>
          <w:rFonts w:hint="eastAsia" w:ascii="仿宋_GB2312" w:hAnsi="仿宋_GB2312" w:eastAsia="仿宋_GB2312" w:cs="仿宋_GB2312"/>
          <w:kern w:val="0"/>
          <w:sz w:val="28"/>
          <w:szCs w:val="28"/>
        </w:rPr>
        <w:t>，建设一批服务产业发展科技共享平台：（1）Micro</w:t>
      </w:r>
      <w:r>
        <w:rPr>
          <w:rFonts w:ascii="仿宋_GB2312" w:hAnsi="仿宋_GB2312" w:eastAsia="仿宋_GB2312" w:cs="仿宋_GB2312"/>
          <w:kern w:val="0"/>
          <w:sz w:val="28"/>
          <w:szCs w:val="28"/>
        </w:rPr>
        <w:t>-LED全制程产线平台</w:t>
      </w:r>
      <w:r>
        <w:rPr>
          <w:rFonts w:hint="eastAsia" w:ascii="仿宋_GB2312" w:hAnsi="仿宋_GB2312" w:eastAsia="仿宋_GB2312" w:cs="仿宋_GB2312"/>
          <w:kern w:val="0"/>
          <w:sz w:val="28"/>
          <w:szCs w:val="28"/>
        </w:rPr>
        <w:t>；（2）Micro</w:t>
      </w:r>
      <w:r>
        <w:rPr>
          <w:rFonts w:ascii="仿宋_GB2312" w:hAnsi="仿宋_GB2312" w:eastAsia="仿宋_GB2312" w:cs="仿宋_GB2312"/>
          <w:kern w:val="0"/>
          <w:sz w:val="28"/>
          <w:szCs w:val="28"/>
        </w:rPr>
        <w:t>-LED设计平台；（</w:t>
      </w:r>
      <w:r>
        <w:rPr>
          <w:rFonts w:hint="eastAsia" w:ascii="仿宋_GB2312" w:hAnsi="仿宋_GB2312" w:eastAsia="仿宋_GB2312" w:cs="仿宋_GB2312"/>
          <w:kern w:val="0"/>
          <w:sz w:val="28"/>
          <w:szCs w:val="28"/>
        </w:rPr>
        <w:t>3</w:t>
      </w:r>
      <w:r>
        <w:rPr>
          <w:rFonts w:ascii="仿宋_GB2312" w:hAnsi="仿宋_GB2312" w:eastAsia="仿宋_GB2312" w:cs="仿宋_GB2312"/>
          <w:kern w:val="0"/>
          <w:sz w:val="28"/>
          <w:szCs w:val="28"/>
        </w:rPr>
        <w:t>）Micro-LED</w:t>
      </w:r>
      <w:r>
        <w:rPr>
          <w:rFonts w:hint="eastAsia" w:ascii="仿宋_GB2312" w:hAnsi="仿宋_GB2312" w:eastAsia="仿宋_GB2312" w:cs="仿宋_GB2312"/>
          <w:kern w:val="0"/>
          <w:sz w:val="28"/>
          <w:szCs w:val="28"/>
        </w:rPr>
        <w:t>先进工艺开发平台；（</w:t>
      </w:r>
      <w:r>
        <w:rPr>
          <w:rFonts w:ascii="仿宋_GB2312" w:hAnsi="仿宋_GB2312" w:eastAsia="仿宋_GB2312" w:cs="仿宋_GB2312"/>
          <w:kern w:val="0"/>
          <w:sz w:val="28"/>
          <w:szCs w:val="28"/>
        </w:rPr>
        <w:t>4）Micro-LED</w:t>
      </w:r>
      <w:r>
        <w:rPr>
          <w:rFonts w:hint="eastAsia" w:ascii="仿宋_GB2312" w:hAnsi="仿宋_GB2312" w:eastAsia="仿宋_GB2312" w:cs="仿宋_GB2312"/>
          <w:kern w:val="0"/>
          <w:sz w:val="28"/>
          <w:szCs w:val="28"/>
        </w:rPr>
        <w:t>测试与标准化平台；（</w:t>
      </w: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Micro</w:t>
      </w:r>
      <w:r>
        <w:rPr>
          <w:rFonts w:ascii="仿宋_GB2312" w:hAnsi="仿宋_GB2312" w:eastAsia="仿宋_GB2312" w:cs="仿宋_GB2312"/>
          <w:kern w:val="0"/>
          <w:sz w:val="28"/>
          <w:szCs w:val="28"/>
        </w:rPr>
        <w:t>-LED</w:t>
      </w:r>
      <w:r>
        <w:rPr>
          <w:rFonts w:hint="eastAsia" w:ascii="仿宋_GB2312" w:hAnsi="仿宋_GB2312" w:eastAsia="仿宋_GB2312" w:cs="仿宋_GB2312"/>
          <w:kern w:val="0"/>
          <w:sz w:val="28"/>
          <w:szCs w:val="28"/>
        </w:rPr>
        <w:t>显示材料创新与技术验证平台；（</w:t>
      </w:r>
      <w:r>
        <w:rPr>
          <w:rFonts w:ascii="仿宋_GB2312" w:hAnsi="仿宋_GB2312" w:eastAsia="仿宋_GB2312" w:cs="仿宋_GB2312"/>
          <w:kern w:val="0"/>
          <w:sz w:val="28"/>
          <w:szCs w:val="28"/>
        </w:rPr>
        <w:t>6）新型显示</w:t>
      </w:r>
      <w:r>
        <w:rPr>
          <w:rFonts w:hint="eastAsia" w:ascii="仿宋_GB2312" w:hAnsi="仿宋_GB2312" w:eastAsia="仿宋_GB2312" w:cs="仿宋_GB2312"/>
          <w:kern w:val="0"/>
          <w:sz w:val="28"/>
          <w:szCs w:val="28"/>
        </w:rPr>
        <w:t>产业创新发展技术咨询平台。</w:t>
      </w:r>
    </w:p>
    <w:p>
      <w:pPr>
        <w:pStyle w:val="4"/>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sz w:val="28"/>
          <w:szCs w:val="28"/>
        </w:rPr>
      </w:pPr>
      <w:r>
        <w:rPr>
          <w:rFonts w:hint="eastAsia" w:ascii="黑体" w:hAnsi="黑体" w:eastAsia="黑体" w:cs="黑体"/>
          <w:b w:val="0"/>
          <w:bCs w:val="0"/>
          <w:sz w:val="28"/>
          <w:szCs w:val="28"/>
        </w:rPr>
        <w:t>（二）中期目标（202</w:t>
      </w:r>
      <w:r>
        <w:rPr>
          <w:rFonts w:ascii="黑体" w:hAnsi="黑体" w:eastAsia="黑体" w:cs="黑体"/>
          <w:b w:val="0"/>
          <w:bCs w:val="0"/>
          <w:sz w:val="28"/>
          <w:szCs w:val="28"/>
        </w:rPr>
        <w:t>6—</w:t>
      </w:r>
      <w:r>
        <w:rPr>
          <w:rFonts w:hint="eastAsia" w:ascii="黑体" w:hAnsi="黑体" w:eastAsia="黑体" w:cs="黑体"/>
          <w:b w:val="0"/>
          <w:bCs w:val="0"/>
          <w:sz w:val="28"/>
          <w:szCs w:val="28"/>
        </w:rPr>
        <w:t>202</w:t>
      </w:r>
      <w:r>
        <w:rPr>
          <w:rFonts w:ascii="黑体" w:hAnsi="黑体" w:eastAsia="黑体" w:cs="黑体"/>
          <w:b w:val="0"/>
          <w:bCs w:val="0"/>
          <w:sz w:val="28"/>
          <w:szCs w:val="28"/>
        </w:rPr>
        <w:t>7</w:t>
      </w:r>
      <w:r>
        <w:rPr>
          <w:rFonts w:hint="eastAsia" w:ascii="黑体" w:hAnsi="黑体" w:eastAsia="黑体" w:cs="黑体"/>
          <w:b w:val="0"/>
          <w:bCs w:val="0"/>
          <w:sz w:val="28"/>
          <w:szCs w:val="28"/>
        </w:rPr>
        <w:t>年）</w:t>
      </w:r>
    </w:p>
    <w:p>
      <w:pPr>
        <w:pageBreakBefore w:val="0"/>
        <w:widowControl w:val="0"/>
        <w:kinsoku/>
        <w:wordWrap/>
        <w:overflowPunct/>
        <w:topLinePunct w:val="0"/>
        <w:autoSpaceDE w:val="0"/>
        <w:autoSpaceDN w:val="0"/>
        <w:bidi w:val="0"/>
        <w:adjustRightInd w:val="0"/>
        <w:snapToGrid/>
        <w:spacing w:line="560" w:lineRule="exact"/>
        <w:ind w:firstLine="562" w:firstLineChars="200"/>
        <w:textAlignment w:val="auto"/>
        <w:rPr>
          <w:rFonts w:ascii="仿宋" w:hAnsi="仿宋" w:eastAsia="仿宋" w:cs="仿宋"/>
          <w:sz w:val="28"/>
          <w:szCs w:val="28"/>
        </w:rPr>
      </w:pPr>
      <w:r>
        <w:rPr>
          <w:rFonts w:hint="eastAsia" w:ascii="仿宋_GB2312" w:hAnsi="仿宋_GB2312" w:eastAsia="仿宋_GB2312" w:cs="仿宋_GB2312"/>
          <w:b/>
          <w:bCs/>
          <w:sz w:val="28"/>
          <w:szCs w:val="28"/>
        </w:rPr>
        <w:t>前沿共性关键技术开发与产业化、知识产权方面</w:t>
      </w:r>
      <w:r>
        <w:rPr>
          <w:rFonts w:hint="eastAsia" w:ascii="仿宋_GB2312" w:hAnsi="仿宋_GB2312" w:eastAsia="仿宋_GB2312" w:cs="仿宋_GB2312"/>
          <w:b/>
          <w:sz w:val="28"/>
          <w:szCs w:val="28"/>
        </w:rPr>
        <w:t>取得显著成效，实现核心技术全面自主化。</w:t>
      </w:r>
      <w:r>
        <w:rPr>
          <w:rFonts w:hint="eastAsia" w:ascii="仿宋_GB2312" w:hAnsi="仿宋_GB2312" w:eastAsia="仿宋_GB2312" w:cs="仿宋_GB2312"/>
          <w:kern w:val="0"/>
          <w:sz w:val="28"/>
          <w:szCs w:val="28"/>
        </w:rPr>
        <w:t>完成AMOLED折叠显示屏、</w:t>
      </w:r>
      <w:r>
        <w:rPr>
          <w:rFonts w:ascii="仿宋_GB2312" w:hAnsi="仿宋_GB2312" w:eastAsia="仿宋_GB2312" w:cs="仿宋_GB2312"/>
          <w:kern w:val="0"/>
          <w:sz w:val="28"/>
          <w:szCs w:val="28"/>
        </w:rPr>
        <w:t>Micro-LED透明显示、巨量转移与键合、</w:t>
      </w:r>
      <w:r>
        <w:rPr>
          <w:rFonts w:hint="eastAsia" w:ascii="仿宋_GB2312" w:hAnsi="仿宋_GB2312" w:eastAsia="仿宋_GB2312" w:cs="仿宋_GB2312"/>
          <w:kern w:val="0"/>
          <w:sz w:val="28"/>
          <w:szCs w:val="28"/>
        </w:rPr>
        <w:t>显示外延与芯片、无缝拼接（P</w:t>
      </w:r>
      <w:r>
        <w:rPr>
          <w:rFonts w:ascii="仿宋_GB2312" w:hAnsi="仿宋_GB2312" w:eastAsia="仿宋_GB2312" w:cs="仿宋_GB2312"/>
          <w:kern w:val="0"/>
          <w:sz w:val="28"/>
          <w:szCs w:val="28"/>
        </w:rPr>
        <w:t>ID</w:t>
      </w:r>
      <w:r>
        <w:rPr>
          <w:rFonts w:hint="eastAsia" w:ascii="仿宋_GB2312" w:hAnsi="仿宋_GB2312" w:eastAsia="仿宋_GB2312" w:cs="仿宋_GB2312"/>
          <w:kern w:val="0"/>
          <w:sz w:val="28"/>
          <w:szCs w:val="28"/>
        </w:rPr>
        <w:t>）、超大容量微纳L</w:t>
      </w:r>
      <w:r>
        <w:rPr>
          <w:rFonts w:ascii="仿宋_GB2312" w:hAnsi="仿宋_GB2312" w:eastAsia="仿宋_GB2312" w:cs="仿宋_GB2312"/>
          <w:kern w:val="0"/>
          <w:sz w:val="28"/>
          <w:szCs w:val="28"/>
        </w:rPr>
        <w:t>ED显示、投影及近视显示模组、</w:t>
      </w:r>
      <w:r>
        <w:rPr>
          <w:rFonts w:hint="eastAsia" w:ascii="仿宋_GB2312" w:hAnsi="仿宋_GB2312" w:eastAsia="仿宋_GB2312" w:cs="仿宋_GB2312"/>
          <w:kern w:val="0"/>
          <w:sz w:val="28"/>
          <w:szCs w:val="28"/>
        </w:rPr>
        <w:t>晶圆级巨量检测的PL光致发光等前沿共性技术核心攻关，形成A</w:t>
      </w:r>
      <w:r>
        <w:rPr>
          <w:rFonts w:ascii="仿宋_GB2312" w:hAnsi="仿宋_GB2312" w:eastAsia="仿宋_GB2312" w:cs="仿宋_GB2312"/>
          <w:kern w:val="0"/>
          <w:sz w:val="28"/>
          <w:szCs w:val="28"/>
        </w:rPr>
        <w:t>MOLED、</w:t>
      </w:r>
      <w:r>
        <w:rPr>
          <w:rFonts w:hint="eastAsia" w:ascii="仿宋_GB2312" w:hAnsi="仿宋_GB2312" w:eastAsia="仿宋_GB2312" w:cs="仿宋_GB2312"/>
          <w:kern w:val="0"/>
          <w:sz w:val="28"/>
          <w:szCs w:val="28"/>
        </w:rPr>
        <w:t>Micro</w:t>
      </w:r>
      <w:r>
        <w:rPr>
          <w:rFonts w:ascii="仿宋_GB2312" w:hAnsi="仿宋_GB2312" w:eastAsia="仿宋_GB2312" w:cs="仿宋_GB2312"/>
          <w:kern w:val="0"/>
          <w:sz w:val="28"/>
          <w:szCs w:val="28"/>
        </w:rPr>
        <w:t>-LED</w:t>
      </w:r>
      <w:r>
        <w:rPr>
          <w:rFonts w:hint="eastAsia" w:ascii="仿宋_GB2312" w:hAnsi="仿宋_GB2312" w:eastAsia="仿宋_GB2312" w:cs="仿宋_GB2312"/>
          <w:kern w:val="0"/>
          <w:sz w:val="28"/>
          <w:szCs w:val="28"/>
        </w:rPr>
        <w:t>量产自主核心技术体系</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形成</w:t>
      </w: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项及以上科研成果并完成转化，累计</w:t>
      </w:r>
      <w:r>
        <w:rPr>
          <w:rFonts w:hint="eastAsia" w:ascii="仿宋" w:hAnsi="仿宋" w:eastAsia="仿宋" w:cs="仿宋"/>
          <w:sz w:val="28"/>
          <w:szCs w:val="28"/>
        </w:rPr>
        <w:t>申请相关专利</w:t>
      </w:r>
      <w:r>
        <w:rPr>
          <w:rFonts w:ascii="仿宋" w:hAnsi="仿宋" w:eastAsia="仿宋" w:cs="仿宋"/>
          <w:sz w:val="28"/>
          <w:szCs w:val="28"/>
        </w:rPr>
        <w:t>150</w:t>
      </w:r>
      <w:r>
        <w:rPr>
          <w:rFonts w:hint="eastAsia" w:ascii="仿宋" w:hAnsi="仿宋" w:eastAsia="仿宋" w:cs="仿宋"/>
          <w:sz w:val="28"/>
          <w:szCs w:val="28"/>
        </w:rPr>
        <w:t>项以上，累计主导或参与</w:t>
      </w:r>
      <w:r>
        <w:rPr>
          <w:rFonts w:ascii="仿宋" w:hAnsi="仿宋" w:eastAsia="仿宋" w:cs="仿宋"/>
          <w:sz w:val="28"/>
          <w:szCs w:val="28"/>
        </w:rPr>
        <w:t>5</w:t>
      </w:r>
      <w:r>
        <w:rPr>
          <w:rFonts w:hint="eastAsia" w:ascii="仿宋" w:hAnsi="仿宋" w:eastAsia="仿宋" w:cs="仿宋"/>
          <w:sz w:val="28"/>
          <w:szCs w:val="28"/>
        </w:rPr>
        <w:t>项及以上国家、行业标准制定，占领专利、标准与规范的地图核心位置。</w:t>
      </w:r>
    </w:p>
    <w:p>
      <w:pPr>
        <w:pageBreakBefore w:val="0"/>
        <w:widowControl w:val="0"/>
        <w:kinsoku/>
        <w:wordWrap/>
        <w:overflowPunct/>
        <w:topLinePunct w:val="0"/>
        <w:bidi w:val="0"/>
        <w:snapToGrid/>
        <w:spacing w:line="560" w:lineRule="exact"/>
        <w:ind w:firstLine="562" w:firstLineChars="200"/>
        <w:textAlignment w:val="auto"/>
        <w:rPr>
          <w:rFonts w:ascii="仿宋" w:hAnsi="仿宋" w:eastAsia="仿宋" w:cs="仿宋"/>
          <w:sz w:val="28"/>
          <w:szCs w:val="28"/>
        </w:rPr>
      </w:pPr>
      <w:r>
        <w:rPr>
          <w:rFonts w:hint="eastAsia" w:ascii="仿宋_GB2312" w:hAnsi="仿宋_GB2312" w:eastAsia="仿宋_GB2312" w:cs="仿宋_GB2312"/>
          <w:b/>
          <w:sz w:val="28"/>
          <w:szCs w:val="28"/>
        </w:rPr>
        <w:t>科技共享平台作用凸显，成果转移转化及社会效益明显。</w:t>
      </w:r>
      <w:r>
        <w:rPr>
          <w:rFonts w:hint="eastAsia" w:ascii="仿宋_GB2312" w:hAnsi="仿宋_GB2312" w:eastAsia="仿宋_GB2312" w:cs="仿宋_GB2312"/>
          <w:sz w:val="28"/>
          <w:szCs w:val="28"/>
        </w:rPr>
        <w:t>累计</w:t>
      </w:r>
      <w:r>
        <w:rPr>
          <w:rFonts w:hint="eastAsia" w:ascii="仿宋" w:hAnsi="仿宋" w:eastAsia="仿宋" w:cs="仿宋"/>
          <w:sz w:val="28"/>
          <w:szCs w:val="28"/>
        </w:rPr>
        <w:t>承担</w:t>
      </w:r>
      <w:r>
        <w:rPr>
          <w:rFonts w:ascii="仿宋" w:hAnsi="仿宋" w:eastAsia="仿宋" w:cs="仿宋"/>
          <w:sz w:val="28"/>
          <w:szCs w:val="28"/>
        </w:rPr>
        <w:t>3</w:t>
      </w:r>
      <w:r>
        <w:rPr>
          <w:rFonts w:hint="eastAsia" w:ascii="仿宋" w:hAnsi="仿宋" w:eastAsia="仿宋" w:cs="仿宋"/>
          <w:sz w:val="28"/>
          <w:szCs w:val="28"/>
        </w:rPr>
        <w:t>项及以上国家、省市各级重大科技创新项目或产业化应用项目，累计完成</w:t>
      </w:r>
      <w:r>
        <w:rPr>
          <w:rFonts w:ascii="仿宋" w:hAnsi="仿宋" w:eastAsia="仿宋" w:cs="仿宋"/>
          <w:sz w:val="28"/>
          <w:szCs w:val="28"/>
        </w:rPr>
        <w:t>20</w:t>
      </w:r>
      <w:r>
        <w:rPr>
          <w:rFonts w:hint="eastAsia" w:ascii="仿宋" w:hAnsi="仿宋" w:eastAsia="仿宋" w:cs="仿宋"/>
          <w:sz w:val="28"/>
          <w:szCs w:val="28"/>
        </w:rPr>
        <w:t>件及以上设备、产品或样机开发，累计实现</w:t>
      </w:r>
      <w:r>
        <w:rPr>
          <w:rFonts w:ascii="仿宋" w:hAnsi="仿宋" w:eastAsia="仿宋" w:cs="仿宋"/>
          <w:sz w:val="28"/>
          <w:szCs w:val="28"/>
        </w:rPr>
        <w:t>10件以上产品量产交付</w:t>
      </w:r>
      <w:r>
        <w:rPr>
          <w:rFonts w:hint="eastAsia" w:ascii="仿宋" w:hAnsi="仿宋" w:eastAsia="仿宋" w:cs="仿宋"/>
          <w:sz w:val="28"/>
          <w:szCs w:val="28"/>
        </w:rPr>
        <w:t>，累计研发相关投入超</w:t>
      </w:r>
      <w:r>
        <w:rPr>
          <w:rFonts w:ascii="仿宋" w:hAnsi="仿宋" w:eastAsia="仿宋" w:cs="仿宋"/>
          <w:sz w:val="28"/>
          <w:szCs w:val="28"/>
        </w:rPr>
        <w:t>6亿元，培养研发创新人才超</w:t>
      </w:r>
      <w:r>
        <w:rPr>
          <w:rFonts w:hint="eastAsia" w:ascii="仿宋" w:hAnsi="仿宋" w:eastAsia="仿宋" w:cs="仿宋"/>
          <w:sz w:val="28"/>
          <w:szCs w:val="28"/>
        </w:rPr>
        <w:t>3</w:t>
      </w:r>
      <w:r>
        <w:rPr>
          <w:rFonts w:ascii="仿宋" w:hAnsi="仿宋" w:eastAsia="仿宋" w:cs="仿宋"/>
          <w:sz w:val="28"/>
          <w:szCs w:val="28"/>
        </w:rPr>
        <w:t>00人次。与此同时，将</w:t>
      </w:r>
      <w:r>
        <w:rPr>
          <w:rFonts w:hint="eastAsia" w:ascii="仿宋" w:hAnsi="仿宋" w:eastAsia="仿宋" w:cs="仿宋"/>
          <w:sz w:val="28"/>
          <w:szCs w:val="28"/>
        </w:rPr>
        <w:t>建立技术和成果应用示范，</w:t>
      </w:r>
      <w:r>
        <w:rPr>
          <w:rFonts w:ascii="仿宋" w:hAnsi="仿宋" w:eastAsia="仿宋" w:cs="仿宋"/>
          <w:sz w:val="28"/>
          <w:szCs w:val="28"/>
        </w:rPr>
        <w:t>充分</w:t>
      </w:r>
      <w:r>
        <w:rPr>
          <w:rFonts w:hint="eastAsia" w:ascii="仿宋" w:hAnsi="仿宋" w:eastAsia="仿宋" w:cs="仿宋"/>
          <w:sz w:val="28"/>
          <w:szCs w:val="28"/>
        </w:rPr>
        <w:t>发挥创新中心行业创新引领作用，鼓励外围企业加入，持续增强我省新型显示产业创新能力，促进我省新型显示产业链、创新链高质量发展。</w:t>
      </w:r>
    </w:p>
    <w:p>
      <w:pPr>
        <w:pStyle w:val="3"/>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sz w:val="28"/>
          <w:szCs w:val="28"/>
        </w:rPr>
      </w:pPr>
      <w:r>
        <w:rPr>
          <w:rFonts w:hint="eastAsia" w:ascii="黑体" w:hAnsi="黑体" w:eastAsia="黑体" w:cs="黑体"/>
          <w:b w:val="0"/>
          <w:bCs w:val="0"/>
          <w:sz w:val="28"/>
          <w:szCs w:val="28"/>
        </w:rPr>
        <w:t>三、主要任务</w:t>
      </w:r>
    </w:p>
    <w:p>
      <w:pPr>
        <w:pStyle w:val="2"/>
        <w:pageBreakBefore w:val="0"/>
        <w:widowControl w:val="0"/>
        <w:kinsoku/>
        <w:wordWrap/>
        <w:overflowPunct/>
        <w:topLinePunct w:val="0"/>
        <w:bidi w:val="0"/>
        <w:snapToGrid/>
        <w:spacing w:after="0" w:line="56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聚焦前沿共性关键技术开发与产业化，高效推进</w:t>
      </w:r>
      <w:r>
        <w:rPr>
          <w:rFonts w:ascii="仿宋_GB2312" w:hAnsi="仿宋_GB2312" w:eastAsia="仿宋_GB2312" w:cs="仿宋_GB2312"/>
          <w:kern w:val="0"/>
          <w:sz w:val="28"/>
          <w:szCs w:val="28"/>
        </w:rPr>
        <w:t xml:space="preserve">AMOLED折叠显示、Micro-LED </w:t>
      </w:r>
      <w:r>
        <w:rPr>
          <w:rFonts w:hint="eastAsia" w:ascii="仿宋_GB2312" w:hAnsi="仿宋_GB2312" w:eastAsia="仿宋_GB2312" w:cs="仿宋_GB2312"/>
          <w:kern w:val="0"/>
          <w:sz w:val="28"/>
          <w:szCs w:val="28"/>
        </w:rPr>
        <w:t>显示外延与芯片、透明显示、彩色化、高精度驱动、无缝拼接（P</w:t>
      </w:r>
      <w:r>
        <w:rPr>
          <w:rFonts w:ascii="仿宋_GB2312" w:hAnsi="仿宋_GB2312" w:eastAsia="仿宋_GB2312" w:cs="仿宋_GB2312"/>
          <w:kern w:val="0"/>
          <w:sz w:val="28"/>
          <w:szCs w:val="28"/>
        </w:rPr>
        <w:t>ID</w:t>
      </w:r>
      <w:r>
        <w:rPr>
          <w:rFonts w:hint="eastAsia" w:ascii="仿宋_GB2312" w:hAnsi="仿宋_GB2312" w:eastAsia="仿宋_GB2312" w:cs="仿宋_GB2312"/>
          <w:kern w:val="0"/>
          <w:sz w:val="28"/>
          <w:szCs w:val="28"/>
        </w:rPr>
        <w:t>）、巨量转移与键合、</w:t>
      </w:r>
      <w:r>
        <w:rPr>
          <w:rFonts w:ascii="仿宋_GB2312" w:hAnsi="仿宋_GB2312" w:eastAsia="仿宋_GB2312" w:cs="仿宋_GB2312"/>
          <w:kern w:val="0"/>
          <w:sz w:val="28"/>
          <w:szCs w:val="28"/>
        </w:rPr>
        <w:t xml:space="preserve">IC </w:t>
      </w:r>
      <w:r>
        <w:rPr>
          <w:rFonts w:hint="eastAsia" w:ascii="仿宋_GB2312" w:hAnsi="仿宋_GB2312" w:eastAsia="仿宋_GB2312" w:cs="仿宋_GB2312"/>
          <w:kern w:val="0"/>
          <w:sz w:val="28"/>
          <w:szCs w:val="28"/>
        </w:rPr>
        <w:t>设计与加工、单芯片色转方案等共性关键技术开发，建立资源共享平台，持续强化</w:t>
      </w:r>
      <w:r>
        <w:rPr>
          <w:rFonts w:ascii="仿宋_GB2312" w:hAnsi="仿宋_GB2312" w:eastAsia="仿宋_GB2312" w:cs="仿宋_GB2312"/>
          <w:kern w:val="0"/>
          <w:sz w:val="28"/>
          <w:szCs w:val="28"/>
        </w:rPr>
        <w:t xml:space="preserve">AMOLED折叠显示产业优势，加速推进Micro-LED </w:t>
      </w:r>
      <w:r>
        <w:rPr>
          <w:rFonts w:hint="eastAsia" w:ascii="仿宋_GB2312" w:hAnsi="仿宋_GB2312" w:eastAsia="仿宋_GB2312" w:cs="仿宋_GB2312"/>
          <w:kern w:val="0"/>
          <w:sz w:val="28"/>
          <w:szCs w:val="28"/>
        </w:rPr>
        <w:t>显示应用开发和产业化，全力打造</w:t>
      </w:r>
      <w:r>
        <w:rPr>
          <w:rFonts w:ascii="仿宋_GB2312" w:hAnsi="仿宋_GB2312" w:eastAsia="仿宋_GB2312" w:cs="仿宋_GB2312"/>
          <w:kern w:val="0"/>
          <w:sz w:val="28"/>
          <w:szCs w:val="28"/>
        </w:rPr>
        <w:t>新型</w:t>
      </w:r>
      <w:r>
        <w:rPr>
          <w:rFonts w:hint="eastAsia" w:ascii="仿宋_GB2312" w:hAnsi="仿宋_GB2312" w:eastAsia="仿宋_GB2312" w:cs="仿宋_GB2312"/>
          <w:kern w:val="0"/>
          <w:sz w:val="28"/>
          <w:szCs w:val="28"/>
        </w:rPr>
        <w:t>显示产业集群和技术优势。</w:t>
      </w:r>
    </w:p>
    <w:p>
      <w:pPr>
        <w:pStyle w:val="4"/>
        <w:pageBreakBefore w:val="0"/>
        <w:widowControl w:val="0"/>
        <w:kinsoku/>
        <w:wordWrap/>
        <w:overflowPunct/>
        <w:topLinePunct w:val="0"/>
        <w:bidi w:val="0"/>
        <w:snapToGrid/>
        <w:spacing w:before="0" w:after="0" w:line="560" w:lineRule="exact"/>
        <w:ind w:left="641"/>
        <w:textAlignment w:val="auto"/>
        <w:rPr>
          <w:rFonts w:ascii="仿宋_GB2312" w:hAnsi="仿宋_GB2312" w:eastAsia="仿宋_GB2312" w:cs="仿宋_GB2312"/>
          <w:b w:val="0"/>
          <w:bCs w:val="0"/>
          <w:sz w:val="28"/>
          <w:szCs w:val="28"/>
        </w:rPr>
      </w:pPr>
      <w:r>
        <w:rPr>
          <w:rFonts w:hint="eastAsia" w:ascii="黑体" w:hAnsi="黑体" w:eastAsia="黑体" w:cs="黑体"/>
          <w:b w:val="0"/>
          <w:bCs w:val="0"/>
          <w:sz w:val="28"/>
          <w:szCs w:val="28"/>
        </w:rPr>
        <w:t>（一）共性关键技术开发与产业化</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1.</w:t>
      </w:r>
      <w:r>
        <w:rPr>
          <w:rFonts w:hint="eastAsia" w:ascii="黑体" w:hAnsi="黑体" w:eastAsia="黑体" w:cs="黑体"/>
          <w:b w:val="0"/>
          <w:bCs w:val="0"/>
        </w:rPr>
        <w:t>AMOLED折叠显示</w:t>
      </w:r>
    </w:p>
    <w:p>
      <w:pPr>
        <w:pageBreakBefore w:val="0"/>
        <w:widowControl w:val="0"/>
        <w:kinsoku/>
        <w:wordWrap/>
        <w:overflowPunct/>
        <w:topLinePunct w:val="0"/>
        <w:bidi w:val="0"/>
        <w:snapToGrid/>
        <w:spacing w:line="560" w:lineRule="exact"/>
        <w:ind w:firstLine="560" w:firstLineChars="200"/>
        <w:textAlignment w:val="auto"/>
        <w:rPr>
          <w:rFonts w:ascii="仿宋_GB2312" w:hAnsi="仿宋_GB2312" w:eastAsia="仿宋_GB2312" w:cs="仿宋_GB2312"/>
          <w:kern w:val="0"/>
          <w:sz w:val="28"/>
          <w:szCs w:val="28"/>
        </w:rPr>
      </w:pPr>
      <w:r>
        <w:rPr>
          <w:rFonts w:ascii="仿宋_GB2312" w:hAnsi="仿宋_GB2312" w:eastAsia="仿宋_GB2312" w:cs="仿宋_GB2312"/>
          <w:kern w:val="0"/>
          <w:sz w:val="28"/>
          <w:szCs w:val="28"/>
        </w:rPr>
        <w:t>以开发新型多形态弯折AMOLED折叠屏产品为目标，结合技术升级迭代的趋势，从材料选型、结构设计、仿真支撑、工艺管控、测试评价维度入手，建立完善的基础设计开发体系。通过研究优化折叠显示屏材料、堆叠结构和制造工艺，提升折叠AMOLED显示屏的弯折性能、机械强度，同时优化折痕、减轻重量、降低功耗，带给用户优质的使用体验；设计并制作新模组弯折测试专用治具，同时迭代升级折叠屏幕亮度及显示均匀性，提出折叠屏幕窄边框技术解决方案。</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kern w:val="0"/>
          <w:sz w:val="28"/>
          <w:szCs w:val="28"/>
        </w:rPr>
      </w:pPr>
      <w:r>
        <w:rPr>
          <w:rFonts w:ascii="仿宋_GB2312" w:hAnsi="仿宋_GB2312" w:eastAsia="仿宋_GB2312" w:cs="仿宋_GB2312"/>
          <w:b/>
          <w:kern w:val="0"/>
          <w:sz w:val="28"/>
          <w:szCs w:val="28"/>
        </w:rPr>
        <w:t>承担单位：</w:t>
      </w:r>
      <w:r>
        <w:rPr>
          <w:rFonts w:ascii="仿宋_GB2312" w:hAnsi="仿宋_GB2312" w:eastAsia="仿宋_GB2312" w:cs="仿宋_GB2312"/>
          <w:kern w:val="0"/>
          <w:sz w:val="28"/>
          <w:szCs w:val="28"/>
        </w:rPr>
        <w:t>厦门天马显示科技有限公司</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kern w:val="0"/>
          <w:sz w:val="28"/>
          <w:szCs w:val="28"/>
        </w:rPr>
      </w:pPr>
      <w:r>
        <w:rPr>
          <w:rFonts w:ascii="仿宋_GB2312" w:hAnsi="仿宋_GB2312" w:eastAsia="仿宋_GB2312" w:cs="仿宋_GB2312"/>
          <w:b/>
          <w:kern w:val="0"/>
          <w:sz w:val="28"/>
          <w:szCs w:val="28"/>
        </w:rPr>
        <w:t>计划安排：</w:t>
      </w:r>
      <w:r>
        <w:rPr>
          <w:rFonts w:ascii="仿宋_GB2312" w:hAnsi="仿宋_GB2312" w:eastAsia="仿宋_GB2312" w:cs="仿宋_GB2312"/>
          <w:kern w:val="0"/>
          <w:sz w:val="28"/>
          <w:szCs w:val="28"/>
        </w:rPr>
        <w:t>2024-2025年，搭建折叠设计、工艺制程、材料、仿真、测试体系，完成中尺寸折叠屏搭载LTPO背板技术开发，弯折性能达到行业领先水平。2026-2027年，基于CFOT技术、UTG材料导入，升级折叠产品显示、机械、弯折性能，设计并制作新模组弯折测试专用治具，持续完善折叠设计开发体系。</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2.Micro-LED</w:t>
      </w:r>
      <w:r>
        <w:rPr>
          <w:rFonts w:hint="eastAsia" w:ascii="黑体" w:hAnsi="黑体" w:eastAsia="黑体" w:cs="黑体"/>
          <w:b w:val="0"/>
          <w:bCs w:val="0"/>
        </w:rPr>
        <w:t>透明显示</w:t>
      </w:r>
    </w:p>
    <w:p>
      <w:pPr>
        <w:pageBreakBefore w:val="0"/>
        <w:widowControl w:val="0"/>
        <w:kinsoku/>
        <w:wordWrap/>
        <w:overflowPunct/>
        <w:topLinePunct w:val="0"/>
        <w:bidi w:val="0"/>
        <w:snapToGrid/>
        <w:spacing w:line="560" w:lineRule="exact"/>
        <w:ind w:firstLine="560" w:firstLineChars="200"/>
        <w:textAlignment w:val="auto"/>
        <w:rPr>
          <w:rFonts w:ascii="仿宋" w:hAnsi="仿宋" w:eastAsia="仿宋"/>
          <w:snapToGrid w:val="0"/>
          <w:kern w:val="0"/>
          <w:sz w:val="28"/>
          <w:szCs w:val="28"/>
          <w:lang w:bidi="ar"/>
        </w:rPr>
      </w:pPr>
      <w:r>
        <w:rPr>
          <w:rFonts w:hint="eastAsia" w:ascii="仿宋" w:hAnsi="仿宋" w:eastAsia="仿宋"/>
          <w:snapToGrid w:val="0"/>
          <w:kern w:val="0"/>
          <w:sz w:val="28"/>
          <w:szCs w:val="28"/>
          <w:lang w:bidi="ar"/>
        </w:rPr>
        <w:t>开展</w:t>
      </w:r>
      <w:r>
        <w:rPr>
          <w:rFonts w:ascii="仿宋" w:hAnsi="仿宋" w:eastAsia="仿宋"/>
          <w:snapToGrid w:val="0"/>
          <w:kern w:val="0"/>
          <w:sz w:val="28"/>
          <w:szCs w:val="28"/>
          <w:lang w:bidi="ar"/>
        </w:rPr>
        <w:t>基于透明技术的像素结构设计研究</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TFT面板光漏流改善研究</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高亮度驱动电路设计研究中尺寸均一性提升研究</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可靠性提升研究</w:t>
      </w:r>
      <w:r>
        <w:rPr>
          <w:rFonts w:hint="eastAsia" w:ascii="仿宋" w:hAnsi="仿宋" w:eastAsia="仿宋"/>
          <w:snapToGrid w:val="0"/>
          <w:kern w:val="0"/>
          <w:sz w:val="28"/>
          <w:szCs w:val="28"/>
          <w:lang w:bidi="ar"/>
        </w:rPr>
        <w:t>。</w:t>
      </w:r>
      <w:r>
        <w:rPr>
          <w:rFonts w:hint="eastAsia" w:ascii="仿宋_GB2312" w:hAnsi="仿宋_GB2312" w:eastAsia="仿宋_GB2312" w:cs="仿宋_GB2312"/>
          <w:kern w:val="0"/>
          <w:sz w:val="28"/>
          <w:szCs w:val="28"/>
        </w:rPr>
        <w:t>建立低温多晶硅</w:t>
      </w:r>
      <w:r>
        <w:rPr>
          <w:rFonts w:ascii="仿宋_GB2312" w:hAnsi="仿宋_GB2312" w:eastAsia="仿宋_GB2312" w:cs="仿宋_GB2312"/>
          <w:kern w:val="0"/>
          <w:sz w:val="28"/>
          <w:szCs w:val="28"/>
        </w:rPr>
        <w:t xml:space="preserve"> TFT </w:t>
      </w:r>
      <w:r>
        <w:rPr>
          <w:rFonts w:hint="eastAsia" w:ascii="仿宋_GB2312" w:hAnsi="仿宋_GB2312" w:eastAsia="仿宋_GB2312" w:cs="仿宋_GB2312"/>
          <w:kern w:val="0"/>
          <w:sz w:val="28"/>
          <w:szCs w:val="28"/>
        </w:rPr>
        <w:t>驱动</w:t>
      </w:r>
      <w:r>
        <w:rPr>
          <w:rFonts w:ascii="仿宋_GB2312" w:hAnsi="仿宋_GB2312" w:eastAsia="仿宋_GB2312" w:cs="仿宋_GB2312"/>
          <w:kern w:val="0"/>
          <w:sz w:val="28"/>
          <w:szCs w:val="28"/>
        </w:rPr>
        <w:t xml:space="preserve">Micro-LED </w:t>
      </w:r>
      <w:r>
        <w:rPr>
          <w:rFonts w:hint="eastAsia" w:ascii="仿宋_GB2312" w:hAnsi="仿宋_GB2312" w:eastAsia="仿宋_GB2312" w:cs="仿宋_GB2312"/>
          <w:kern w:val="0"/>
          <w:sz w:val="28"/>
          <w:szCs w:val="28"/>
        </w:rPr>
        <w:t>器件的电学</w:t>
      </w:r>
      <w:r>
        <w:rPr>
          <w:rFonts w:hint="eastAsia" w:ascii="仿宋" w:hAnsi="仿宋" w:eastAsia="仿宋"/>
          <w:snapToGrid w:val="0"/>
          <w:kern w:val="0"/>
          <w:sz w:val="28"/>
          <w:szCs w:val="28"/>
          <w:lang w:bidi="ar"/>
        </w:rPr>
        <w:t>模拟仿真</w:t>
      </w:r>
      <w:r>
        <w:rPr>
          <w:rFonts w:hint="eastAsia" w:ascii="仿宋_GB2312" w:hAnsi="仿宋_GB2312" w:eastAsia="仿宋_GB2312" w:cs="仿宋_GB2312"/>
          <w:kern w:val="0"/>
          <w:sz w:val="28"/>
          <w:szCs w:val="28"/>
        </w:rPr>
        <w:t>与设计，开发共晶金属键合材料和工艺技术，研究窄边框集成</w:t>
      </w:r>
      <w:r>
        <w:rPr>
          <w:rFonts w:ascii="仿宋_GB2312" w:hAnsi="仿宋_GB2312" w:eastAsia="仿宋_GB2312" w:cs="仿宋_GB2312"/>
          <w:kern w:val="0"/>
          <w:sz w:val="28"/>
          <w:szCs w:val="28"/>
        </w:rPr>
        <w:t xml:space="preserve">VSR </w:t>
      </w:r>
      <w:r>
        <w:rPr>
          <w:rFonts w:hint="eastAsia" w:ascii="仿宋_GB2312" w:hAnsi="仿宋_GB2312" w:eastAsia="仿宋_GB2312" w:cs="仿宋_GB2312"/>
          <w:kern w:val="0"/>
          <w:sz w:val="28"/>
          <w:szCs w:val="28"/>
        </w:rPr>
        <w:t>电路结构，完成</w:t>
      </w:r>
      <w:r>
        <w:rPr>
          <w:rFonts w:ascii="仿宋_GB2312" w:hAnsi="仿宋_GB2312" w:eastAsia="仿宋_GB2312" w:cs="仿宋_GB2312"/>
          <w:kern w:val="0"/>
          <w:sz w:val="28"/>
          <w:szCs w:val="28"/>
        </w:rPr>
        <w:t xml:space="preserve">Micro-LED TFT </w:t>
      </w:r>
      <w:r>
        <w:rPr>
          <w:rFonts w:hint="eastAsia" w:ascii="仿宋_GB2312" w:hAnsi="仿宋_GB2312" w:eastAsia="仿宋_GB2312" w:cs="仿宋_GB2312"/>
          <w:kern w:val="0"/>
          <w:sz w:val="28"/>
          <w:szCs w:val="28"/>
        </w:rPr>
        <w:t>驱动电路在</w:t>
      </w:r>
      <w:r>
        <w:rPr>
          <w:rFonts w:ascii="仿宋_GB2312" w:hAnsi="仿宋_GB2312" w:eastAsia="仿宋_GB2312" w:cs="仿宋_GB2312"/>
          <w:kern w:val="0"/>
          <w:sz w:val="28"/>
          <w:szCs w:val="28"/>
        </w:rPr>
        <w:t xml:space="preserve">LTPS </w:t>
      </w:r>
      <w:r>
        <w:rPr>
          <w:rFonts w:hint="eastAsia" w:ascii="仿宋_GB2312" w:hAnsi="仿宋_GB2312" w:eastAsia="仿宋_GB2312" w:cs="仿宋_GB2312"/>
          <w:kern w:val="0"/>
          <w:sz w:val="28"/>
          <w:szCs w:val="28"/>
        </w:rPr>
        <w:t>基板的制作，突破</w:t>
      </w:r>
      <w:r>
        <w:rPr>
          <w:rFonts w:ascii="仿宋_GB2312" w:hAnsi="仿宋_GB2312" w:eastAsia="仿宋_GB2312" w:cs="仿宋_GB2312"/>
          <w:kern w:val="0"/>
          <w:sz w:val="28"/>
          <w:szCs w:val="28"/>
        </w:rPr>
        <w:t xml:space="preserve">Micro-LED </w:t>
      </w:r>
      <w:r>
        <w:rPr>
          <w:rFonts w:hint="eastAsia" w:ascii="仿宋_GB2312" w:hAnsi="仿宋_GB2312" w:eastAsia="仿宋_GB2312" w:cs="仿宋_GB2312"/>
          <w:kern w:val="0"/>
          <w:sz w:val="28"/>
          <w:szCs w:val="28"/>
        </w:rPr>
        <w:t>芯片器件转印、基板工艺及材料、驱动关键技术，实现具有完全自主知识产权的</w:t>
      </w:r>
      <w:r>
        <w:rPr>
          <w:rFonts w:ascii="仿宋_GB2312" w:hAnsi="仿宋_GB2312" w:eastAsia="仿宋_GB2312" w:cs="仿宋_GB2312"/>
          <w:kern w:val="0"/>
          <w:sz w:val="28"/>
          <w:szCs w:val="28"/>
        </w:rPr>
        <w:t xml:space="preserve">LTPS-TFT </w:t>
      </w:r>
      <w:r>
        <w:rPr>
          <w:rFonts w:hint="eastAsia" w:ascii="仿宋_GB2312" w:hAnsi="仿宋_GB2312" w:eastAsia="仿宋_GB2312" w:cs="仿宋_GB2312"/>
          <w:kern w:val="0"/>
          <w:sz w:val="28"/>
          <w:szCs w:val="28"/>
        </w:rPr>
        <w:t>透明显示，</w:t>
      </w:r>
      <w:r>
        <w:rPr>
          <w:rFonts w:ascii="仿宋" w:hAnsi="仿宋" w:eastAsia="仿宋"/>
          <w:snapToGrid w:val="0"/>
          <w:kern w:val="0"/>
          <w:sz w:val="28"/>
          <w:szCs w:val="28"/>
          <w:lang w:bidi="ar"/>
        </w:rPr>
        <w:t>实现透明度</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对比度</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响应速度</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色域</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能效比</w:t>
      </w:r>
      <w:r>
        <w:rPr>
          <w:rFonts w:hint="eastAsia" w:ascii="仿宋" w:hAnsi="仿宋" w:eastAsia="仿宋"/>
          <w:snapToGrid w:val="0"/>
          <w:kern w:val="0"/>
          <w:sz w:val="28"/>
          <w:szCs w:val="28"/>
          <w:lang w:bidi="ar"/>
        </w:rPr>
        <w:t>等方面的突破。</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承担单位：</w:t>
      </w:r>
      <w:r>
        <w:rPr>
          <w:rFonts w:hint="eastAsia" w:ascii="仿宋" w:hAnsi="仿宋" w:eastAsia="仿宋"/>
          <w:snapToGrid w:val="0"/>
          <w:kern w:val="0"/>
          <w:sz w:val="28"/>
          <w:szCs w:val="28"/>
          <w:lang w:bidi="ar"/>
        </w:rPr>
        <w:t>厦门天马微电子有限公司、天马新型显示技术研究院（厦门）有限公司</w:t>
      </w:r>
      <w:r>
        <w:rPr>
          <w:rFonts w:ascii="仿宋" w:hAnsi="仿宋" w:eastAsia="仿宋"/>
          <w:snapToGrid w:val="0"/>
          <w:kern w:val="0"/>
          <w:sz w:val="28"/>
          <w:szCs w:val="28"/>
          <w:lang w:bidi="ar"/>
        </w:rPr>
        <w:t>、</w:t>
      </w:r>
      <w:r>
        <w:rPr>
          <w:rFonts w:hint="eastAsia" w:ascii="仿宋" w:hAnsi="仿宋" w:eastAsia="仿宋"/>
          <w:snapToGrid w:val="0"/>
          <w:kern w:val="0"/>
          <w:sz w:val="28"/>
          <w:szCs w:val="28"/>
          <w:lang w:bidi="ar"/>
        </w:rPr>
        <w:t>厦门市未来显示技术研究院</w:t>
      </w:r>
    </w:p>
    <w:p>
      <w:pPr>
        <w:pStyle w:val="2"/>
        <w:pageBreakBefore w:val="0"/>
        <w:widowControl w:val="0"/>
        <w:kinsoku/>
        <w:wordWrap/>
        <w:overflowPunct/>
        <w:topLinePunct w:val="0"/>
        <w:bidi w:val="0"/>
        <w:snapToGrid/>
        <w:spacing w:after="0" w:line="560" w:lineRule="exact"/>
        <w:ind w:firstLine="562" w:firstLineChars="200"/>
        <w:textAlignment w:val="auto"/>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计划安排：</w:t>
      </w:r>
      <w:r>
        <w:rPr>
          <w:rFonts w:ascii="仿宋_GB2312" w:hAnsi="仿宋_GB2312" w:eastAsia="仿宋_GB2312" w:cs="仿宋_GB2312"/>
          <w:kern w:val="0"/>
          <w:sz w:val="28"/>
          <w:szCs w:val="28"/>
        </w:rPr>
        <w:t>2024-2025年，完成规格制定、可行性评价、工艺评估，开展TFT背板驱动的设计研究和调研，完成项目整体方案评估；完成TFT背板方案设计、模组方案设计、单体材料验证。2026-2027年，完成高透过率Micro-LED背板设计与工艺开发，高亮度、高可靠性驱动电路开发；完成首次点亮验证，完成高透过率透明显示样机改善方案验证；实现具备高透过率、高PPI具备量产可行性的技术开发和样机交付，主导或参与相关标准制定。</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3.Micro-LED</w:t>
      </w:r>
      <w:r>
        <w:rPr>
          <w:rFonts w:hint="eastAsia" w:ascii="黑体" w:hAnsi="黑体" w:eastAsia="黑体" w:cs="黑体"/>
          <w:b w:val="0"/>
          <w:bCs w:val="0"/>
        </w:rPr>
        <w:t>巨量转移与键合</w:t>
      </w:r>
    </w:p>
    <w:p>
      <w:pPr>
        <w:pageBreakBefore w:val="0"/>
        <w:widowControl w:val="0"/>
        <w:kinsoku/>
        <w:wordWrap/>
        <w:overflowPunct/>
        <w:topLinePunct w:val="0"/>
        <w:bidi w:val="0"/>
        <w:snapToGrid/>
        <w:spacing w:line="560" w:lineRule="exact"/>
        <w:ind w:firstLine="560" w:firstLineChars="200"/>
        <w:textAlignment w:val="auto"/>
        <w:rPr>
          <w:rFonts w:ascii="仿宋" w:hAnsi="仿宋" w:eastAsia="仿宋"/>
          <w:snapToGrid w:val="0"/>
          <w:kern w:val="0"/>
          <w:sz w:val="28"/>
          <w:szCs w:val="28"/>
          <w:lang w:bidi="ar"/>
        </w:rPr>
      </w:pPr>
      <w:r>
        <w:rPr>
          <w:rFonts w:hint="eastAsia" w:ascii="仿宋" w:hAnsi="仿宋" w:eastAsia="仿宋"/>
          <w:snapToGrid w:val="0"/>
          <w:kern w:val="0"/>
          <w:sz w:val="28"/>
          <w:szCs w:val="28"/>
          <w:lang w:bidi="ar"/>
        </w:rPr>
        <w:t>随着</w:t>
      </w:r>
      <w:r>
        <w:rPr>
          <w:rFonts w:ascii="仿宋" w:hAnsi="仿宋" w:eastAsia="仿宋"/>
          <w:snapToGrid w:val="0"/>
          <w:kern w:val="0"/>
          <w:sz w:val="28"/>
          <w:szCs w:val="28"/>
          <w:lang w:bidi="ar"/>
        </w:rPr>
        <w:t>Micro-LED技术逐渐走向产业化，高效的转移与</w:t>
      </w:r>
      <w:r>
        <w:rPr>
          <w:rFonts w:hint="eastAsia" w:ascii="仿宋" w:hAnsi="仿宋" w:eastAsia="仿宋"/>
          <w:snapToGrid w:val="0"/>
          <w:kern w:val="0"/>
          <w:sz w:val="28"/>
          <w:szCs w:val="28"/>
          <w:lang w:bidi="ar"/>
        </w:rPr>
        <w:t>键合技术成为制约其大规模商业化的关键。本课题将从产业化的角度，结合前瞻性技术布局，全面研究</w:t>
      </w:r>
      <w:r>
        <w:rPr>
          <w:rFonts w:ascii="仿宋" w:hAnsi="仿宋" w:eastAsia="仿宋"/>
          <w:snapToGrid w:val="0"/>
          <w:kern w:val="0"/>
          <w:sz w:val="28"/>
          <w:szCs w:val="28"/>
          <w:lang w:bidi="ar"/>
        </w:rPr>
        <w:t>Micro-LED的转移与</w:t>
      </w:r>
      <w:r>
        <w:rPr>
          <w:rFonts w:hint="eastAsia" w:ascii="仿宋" w:hAnsi="仿宋" w:eastAsia="仿宋"/>
          <w:snapToGrid w:val="0"/>
          <w:kern w:val="0"/>
          <w:sz w:val="28"/>
          <w:szCs w:val="28"/>
          <w:lang w:bidi="ar"/>
        </w:rPr>
        <w:t>键合核心技术，在转移材料、转移效率、转移精度、键合材料、键合结构、键合可靠性、芯片要求、工艺流程优化等方面进行攻关，提出具有广泛适应性的标准化方案，以期为</w:t>
      </w:r>
      <w:r>
        <w:rPr>
          <w:rFonts w:ascii="仿宋" w:hAnsi="仿宋" w:eastAsia="仿宋"/>
          <w:snapToGrid w:val="0"/>
          <w:kern w:val="0"/>
          <w:sz w:val="28"/>
          <w:szCs w:val="28"/>
          <w:lang w:bidi="ar"/>
        </w:rPr>
        <w:t>Micro-LED的大规模商业化提供坚实的技术基础。</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color w:val="FF0000"/>
          <w:kern w:val="0"/>
          <w:sz w:val="28"/>
          <w:szCs w:val="28"/>
        </w:rPr>
      </w:pPr>
      <w:r>
        <w:rPr>
          <w:rFonts w:hint="eastAsia" w:ascii="仿宋_GB2312" w:hAnsi="仿宋_GB2312" w:eastAsia="仿宋_GB2312" w:cs="仿宋_GB2312"/>
          <w:b/>
          <w:kern w:val="0"/>
          <w:sz w:val="28"/>
          <w:szCs w:val="28"/>
        </w:rPr>
        <w:t>承担单位</w:t>
      </w:r>
      <w:r>
        <w:rPr>
          <w:rFonts w:hint="eastAsia" w:ascii="仿宋" w:hAnsi="仿宋" w:eastAsia="仿宋"/>
          <w:snapToGrid w:val="0"/>
          <w:kern w:val="0"/>
          <w:sz w:val="28"/>
          <w:szCs w:val="28"/>
          <w:lang w:bidi="ar"/>
        </w:rPr>
        <w:t>：</w:t>
      </w:r>
      <w:r>
        <w:rPr>
          <w:rFonts w:hint="eastAsia" w:ascii="仿宋" w:hAnsi="仿宋" w:eastAsia="仿宋"/>
          <w:snapToGrid w:val="0"/>
          <w:color w:val="000000" w:themeColor="text1"/>
          <w:kern w:val="0"/>
          <w:sz w:val="28"/>
          <w:szCs w:val="28"/>
          <w:lang w:bidi="ar"/>
          <w14:textFill>
            <w14:solidFill>
              <w14:schemeClr w14:val="tx1"/>
            </w14:solidFill>
          </w14:textFill>
        </w:rPr>
        <w:t>厦门市未来显示技术研究院、</w:t>
      </w:r>
      <w:r>
        <w:rPr>
          <w:rFonts w:hint="eastAsia" w:ascii="仿宋" w:hAnsi="仿宋" w:eastAsia="仿宋"/>
          <w:snapToGrid w:val="0"/>
          <w:kern w:val="0"/>
          <w:sz w:val="28"/>
          <w:szCs w:val="28"/>
          <w:lang w:bidi="ar"/>
        </w:rPr>
        <w:t>天马新型显示技术研究院（厦门）有限公司</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计划安排：</w:t>
      </w:r>
      <w:r>
        <w:rPr>
          <w:rFonts w:ascii="仿宋_GB2312" w:hAnsi="仿宋_GB2312" w:eastAsia="仿宋_GB2312" w:cs="仿宋_GB2312"/>
          <w:kern w:val="0"/>
          <w:sz w:val="28"/>
          <w:szCs w:val="28"/>
        </w:rPr>
        <w:t>2024-2025年，对转移材料和键合材料进行深入基础研究；实现转移精度和效率的初步技术突破；实现Micro-LED的转移技术、键合结构和初步键合技术突破。2026-2027年，对工艺流程进行系统优化，提高整体生产良率，确定具有广泛适应性的标准化方案，并在大规模生产中得到验证，实现从实验室到工厂的完整技术转移，实现样机或产品交付；主导或参与相关标准制定，推动Micro-LED行业的标准化进程。</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4</w:t>
      </w:r>
      <w:r>
        <w:rPr>
          <w:rFonts w:hint="eastAsia" w:ascii="黑体" w:hAnsi="黑体" w:eastAsia="黑体" w:cs="黑体"/>
          <w:b w:val="0"/>
          <w:bCs w:val="0"/>
        </w:rPr>
        <w:t>.</w:t>
      </w:r>
      <w:r>
        <w:rPr>
          <w:rFonts w:ascii="黑体" w:hAnsi="黑体" w:eastAsia="黑体" w:cs="黑体"/>
          <w:b w:val="0"/>
          <w:bCs w:val="0"/>
        </w:rPr>
        <w:t xml:space="preserve">Micro-LED </w:t>
      </w:r>
      <w:r>
        <w:rPr>
          <w:rFonts w:hint="eastAsia" w:ascii="黑体" w:hAnsi="黑体" w:eastAsia="黑体" w:cs="黑体"/>
          <w:b w:val="0"/>
          <w:bCs w:val="0"/>
        </w:rPr>
        <w:t>显示外延与芯片</w:t>
      </w:r>
    </w:p>
    <w:p>
      <w:pPr>
        <w:pageBreakBefore w:val="0"/>
        <w:widowControl w:val="0"/>
        <w:kinsoku/>
        <w:wordWrap/>
        <w:overflowPunct/>
        <w:topLinePunct w:val="0"/>
        <w:bidi w:val="0"/>
        <w:snapToGrid/>
        <w:spacing w:line="560" w:lineRule="exact"/>
        <w:ind w:firstLine="560" w:firstLineChars="200"/>
        <w:textAlignment w:val="auto"/>
        <w:rPr>
          <w:rFonts w:eastAsia="仿宋_GB2312"/>
          <w:kern w:val="0"/>
          <w:sz w:val="28"/>
          <w:szCs w:val="28"/>
        </w:rPr>
      </w:pPr>
      <w:r>
        <w:rPr>
          <w:rFonts w:eastAsia="仿宋_GB2312"/>
          <w:kern w:val="0"/>
          <w:sz w:val="28"/>
          <w:szCs w:val="28"/>
        </w:rPr>
        <w:t>研究外延衬底缺陷密度、应力、面型对发光效率及波长均匀性影响规律，对MOCVD系统客制化设计，研究温场、流场等及气场控制对波长均匀性影响；研究欧姆接触与反射镜结构对电压与亮度的相互影响规律，绝缘层结构与表面萃取结构对发光效率的影响规律，研究有源区域电流扩展设计对电流拥挤效应与台面侧壁非辐射复合效应的影响规律，以提高芯片效率；</w:t>
      </w:r>
      <w:r>
        <w:rPr>
          <w:rFonts w:hint="eastAsia" w:ascii="仿宋_GB2312" w:hAnsi="仿宋_GB2312" w:eastAsia="仿宋_GB2312" w:cs="仿宋_GB2312"/>
          <w:kern w:val="0"/>
          <w:sz w:val="28"/>
          <w:szCs w:val="28"/>
        </w:rPr>
        <w:t>研究基于红绿蓝三色外延波长均匀一致性外延结构设计、芯片制备工艺中干法刻蚀损伤改善，以及低电流密度下高光效、高可靠性芯片技术设计。开发高均匀性、高效率的</w:t>
      </w:r>
      <w:r>
        <w:rPr>
          <w:rFonts w:ascii="仿宋_GB2312" w:hAnsi="仿宋_GB2312" w:eastAsia="仿宋_GB2312" w:cs="仿宋_GB2312"/>
          <w:kern w:val="0"/>
          <w:sz w:val="28"/>
          <w:szCs w:val="28"/>
        </w:rPr>
        <w:t xml:space="preserve">Micro-LED </w:t>
      </w:r>
      <w:r>
        <w:rPr>
          <w:rFonts w:hint="eastAsia" w:ascii="仿宋_GB2312" w:hAnsi="仿宋_GB2312" w:eastAsia="仿宋_GB2312" w:cs="仿宋_GB2312"/>
          <w:kern w:val="0"/>
          <w:sz w:val="28"/>
          <w:szCs w:val="28"/>
        </w:rPr>
        <w:t>外延片和</w:t>
      </w:r>
      <w:r>
        <w:rPr>
          <w:rFonts w:ascii="仿宋_GB2312" w:hAnsi="仿宋_GB2312" w:eastAsia="仿宋_GB2312" w:cs="仿宋_GB2312"/>
          <w:kern w:val="0"/>
          <w:sz w:val="28"/>
          <w:szCs w:val="28"/>
        </w:rPr>
        <w:t xml:space="preserve">Micro-LED </w:t>
      </w:r>
      <w:r>
        <w:rPr>
          <w:rFonts w:hint="eastAsia" w:ascii="仿宋_GB2312" w:hAnsi="仿宋_GB2312" w:eastAsia="仿宋_GB2312" w:cs="仿宋_GB2312"/>
          <w:kern w:val="0"/>
          <w:sz w:val="28"/>
          <w:szCs w:val="28"/>
        </w:rPr>
        <w:t>芯片。</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kern w:val="0"/>
          <w:sz w:val="28"/>
          <w:szCs w:val="28"/>
        </w:rPr>
      </w:pPr>
      <w:r>
        <w:rPr>
          <w:rFonts w:eastAsia="仿宋_GB2312"/>
          <w:b/>
          <w:kern w:val="0"/>
          <w:sz w:val="28"/>
          <w:szCs w:val="28"/>
        </w:rPr>
        <w:t>承担单位：</w:t>
      </w:r>
      <w:r>
        <w:rPr>
          <w:rFonts w:eastAsia="仿宋"/>
          <w:snapToGrid w:val="0"/>
          <w:kern w:val="0"/>
          <w:sz w:val="28"/>
          <w:szCs w:val="28"/>
          <w:lang w:bidi="ar"/>
        </w:rPr>
        <w:t>泉州三安半导体科技有限公司、</w:t>
      </w:r>
      <w:r>
        <w:rPr>
          <w:rFonts w:hint="eastAsia" w:ascii="仿宋_GB2312" w:hAnsi="仿宋_GB2312" w:eastAsia="仿宋_GB2312" w:cs="仿宋_GB2312"/>
          <w:kern w:val="0"/>
          <w:sz w:val="28"/>
          <w:szCs w:val="28"/>
        </w:rPr>
        <w:t>厦门乾照光电股份有限公司</w:t>
      </w:r>
      <w:r>
        <w:rPr>
          <w:rFonts w:hint="eastAsia" w:ascii="仿宋_GB2312" w:hAnsi="仿宋_GB2312" w:eastAsia="仿宋_GB2312" w:cs="仿宋_GB2312"/>
          <w:color w:val="000000" w:themeColor="text1"/>
          <w:kern w:val="0"/>
          <w:sz w:val="28"/>
          <w:szCs w:val="28"/>
          <w14:textFill>
            <w14:solidFill>
              <w14:schemeClr w14:val="tx1"/>
            </w14:solidFill>
          </w14:textFill>
        </w:rPr>
        <w:t>、厦门市未来显示技术研究院</w:t>
      </w:r>
    </w:p>
    <w:p>
      <w:pPr>
        <w:pageBreakBefore w:val="0"/>
        <w:widowControl w:val="0"/>
        <w:kinsoku/>
        <w:wordWrap/>
        <w:overflowPunct/>
        <w:topLinePunct w:val="0"/>
        <w:bidi w:val="0"/>
        <w:snapToGrid/>
        <w:spacing w:line="560" w:lineRule="exact"/>
        <w:ind w:firstLine="562" w:firstLineChars="200"/>
        <w:textAlignment w:val="auto"/>
        <w:rPr>
          <w:rFonts w:eastAsia="仿宋_GB2312"/>
          <w:b/>
          <w:kern w:val="0"/>
          <w:sz w:val="28"/>
          <w:szCs w:val="28"/>
        </w:rPr>
      </w:pPr>
      <w:r>
        <w:rPr>
          <w:rFonts w:eastAsia="仿宋_GB2312"/>
          <w:b/>
          <w:kern w:val="0"/>
          <w:sz w:val="28"/>
          <w:szCs w:val="28"/>
        </w:rPr>
        <w:t>计划安排：</w:t>
      </w:r>
      <w:r>
        <w:rPr>
          <w:rFonts w:eastAsia="仿宋_GB2312"/>
          <w:kern w:val="0"/>
          <w:sz w:val="28"/>
          <w:szCs w:val="28"/>
        </w:rPr>
        <w:t xml:space="preserve">2024年-2025年，完成MOCVD生长条件初步验证、光萃取优化、表面粗化图形结构设计与调适；设计高发光效率、高单色性MQW结构，提升芯片效率，并完成实验验证；实现Micro-LED </w:t>
      </w:r>
      <w:r>
        <w:rPr>
          <w:rFonts w:hint="eastAsia" w:ascii="仿宋_GB2312" w:hAnsi="仿宋_GB2312" w:eastAsia="仿宋_GB2312" w:cs="仿宋_GB2312"/>
          <w:kern w:val="0"/>
          <w:sz w:val="28"/>
          <w:szCs w:val="28"/>
        </w:rPr>
        <w:t>外延片波长均匀性提升，实现RGB三色Micro-LED芯片小批量量产。</w:t>
      </w:r>
      <w:r>
        <w:rPr>
          <w:rFonts w:eastAsia="仿宋_GB2312"/>
          <w:kern w:val="0"/>
          <w:sz w:val="28"/>
          <w:szCs w:val="28"/>
        </w:rPr>
        <w:t xml:space="preserve">2026年-2027年，获得高提取效率LED 芯片，实现Micro-LED </w:t>
      </w:r>
      <w:r>
        <w:rPr>
          <w:rFonts w:hint="eastAsia" w:eastAsia="仿宋_GB2312"/>
          <w:kern w:val="0"/>
          <w:sz w:val="28"/>
          <w:szCs w:val="28"/>
        </w:rPr>
        <w:t>外延片波长均匀性提升，实现</w:t>
      </w:r>
      <w:r>
        <w:rPr>
          <w:rFonts w:hint="eastAsia" w:ascii="仿宋_GB2312" w:hAnsi="仿宋_GB2312" w:eastAsia="仿宋_GB2312" w:cs="仿宋_GB2312"/>
          <w:kern w:val="0"/>
          <w:sz w:val="28"/>
          <w:szCs w:val="28"/>
        </w:rPr>
        <w:t>样机或产品</w:t>
      </w:r>
      <w:r>
        <w:rPr>
          <w:rFonts w:ascii="仿宋_GB2312" w:hAnsi="仿宋_GB2312" w:eastAsia="仿宋_GB2312" w:cs="仿宋_GB2312"/>
          <w:kern w:val="0"/>
          <w:sz w:val="28"/>
          <w:szCs w:val="28"/>
        </w:rPr>
        <w:t>交付</w:t>
      </w:r>
      <w:r>
        <w:rPr>
          <w:rFonts w:hint="eastAsia" w:ascii="仿宋_GB2312" w:hAnsi="仿宋_GB2312" w:eastAsia="仿宋_GB2312" w:cs="仿宋_GB2312"/>
          <w:kern w:val="0"/>
          <w:sz w:val="28"/>
          <w:szCs w:val="28"/>
        </w:rPr>
        <w:t>。</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rPr>
      </w:pPr>
      <w:r>
        <w:rPr>
          <w:rFonts w:ascii="黑体" w:hAnsi="黑体" w:eastAsia="黑体" w:cs="黑体"/>
        </w:rPr>
        <w:t>5.Micro-LED</w:t>
      </w:r>
      <w:r>
        <w:rPr>
          <w:rFonts w:hint="eastAsia" w:ascii="黑体" w:hAnsi="黑体" w:eastAsia="黑体" w:cs="黑体"/>
        </w:rPr>
        <w:t>微型显示</w:t>
      </w:r>
    </w:p>
    <w:p>
      <w:pPr>
        <w:pageBreakBefore w:val="0"/>
        <w:widowControl w:val="0"/>
        <w:kinsoku/>
        <w:wordWrap/>
        <w:overflowPunct/>
        <w:topLinePunct w:val="0"/>
        <w:bidi w:val="0"/>
        <w:snapToGrid/>
        <w:spacing w:line="560" w:lineRule="exact"/>
        <w:ind w:firstLine="560" w:firstLineChars="200"/>
        <w:textAlignment w:val="auto"/>
        <w:rPr>
          <w:rFonts w:ascii="仿宋" w:hAnsi="仿宋" w:eastAsia="仿宋"/>
          <w:snapToGrid w:val="0"/>
          <w:kern w:val="0"/>
          <w:sz w:val="28"/>
          <w:szCs w:val="28"/>
          <w:lang w:bidi="ar"/>
        </w:rPr>
      </w:pPr>
      <w:r>
        <w:rPr>
          <w:rFonts w:hint="eastAsia" w:ascii="仿宋" w:hAnsi="仿宋" w:eastAsia="仿宋"/>
          <w:snapToGrid w:val="0"/>
          <w:kern w:val="0"/>
          <w:sz w:val="28"/>
          <w:szCs w:val="28"/>
          <w:lang w:bidi="ar"/>
        </w:rPr>
        <w:t>随着微型显示技术在增强现实 (AR)、虚拟现实 (VR) 和头戴显示设备中的应用逐渐增多，Micro-LED技术因其卓越的性能而备受关注。本课题着重于Micro-LED微型显示的优化和创新，针对其发光效率、全彩化方案、亮度和亮度均匀性、响应速度等关键性能指标进行深入研究，以实现高品质的微型显示效果。</w:t>
      </w:r>
    </w:p>
    <w:p>
      <w:pPr>
        <w:pageBreakBefore w:val="0"/>
        <w:widowControl w:val="0"/>
        <w:kinsoku/>
        <w:wordWrap/>
        <w:overflowPunct/>
        <w:topLinePunct w:val="0"/>
        <w:bidi w:val="0"/>
        <w:snapToGrid/>
        <w:spacing w:line="560" w:lineRule="exact"/>
        <w:ind w:firstLine="562" w:firstLineChars="200"/>
        <w:textAlignment w:val="auto"/>
        <w:rPr>
          <w:rFonts w:ascii="仿宋" w:hAnsi="仿宋" w:eastAsia="仿宋"/>
          <w:snapToGrid w:val="0"/>
          <w:kern w:val="0"/>
          <w:sz w:val="28"/>
          <w:szCs w:val="28"/>
          <w:lang w:bidi="ar"/>
        </w:rPr>
      </w:pPr>
      <w:r>
        <w:rPr>
          <w:rFonts w:hint="eastAsia" w:ascii="仿宋_GB2312" w:hAnsi="仿宋_GB2312" w:eastAsia="仿宋_GB2312" w:cs="仿宋_GB2312"/>
          <w:b/>
          <w:kern w:val="0"/>
          <w:sz w:val="28"/>
          <w:szCs w:val="28"/>
        </w:rPr>
        <w:t>承担单位：</w:t>
      </w:r>
      <w:r>
        <w:rPr>
          <w:rFonts w:hint="eastAsia" w:ascii="仿宋" w:hAnsi="仿宋" w:eastAsia="仿宋"/>
          <w:snapToGrid w:val="0"/>
          <w:kern w:val="0"/>
          <w:sz w:val="28"/>
          <w:szCs w:val="28"/>
          <w:lang w:bidi="ar"/>
        </w:rPr>
        <w:t>厦门市未来显示技术研究院</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计划安排：</w:t>
      </w:r>
      <w:r>
        <w:rPr>
          <w:rFonts w:ascii="仿宋" w:hAnsi="仿宋" w:eastAsia="仿宋"/>
          <w:snapToGrid w:val="0"/>
          <w:kern w:val="0"/>
          <w:sz w:val="28"/>
          <w:szCs w:val="28"/>
          <w:lang w:bidi="ar"/>
        </w:rPr>
        <w:t>2024-2025年，开展针对发光效率</w:t>
      </w:r>
      <w:r>
        <w:rPr>
          <w:rFonts w:hint="eastAsia" w:ascii="仿宋" w:hAnsi="仿宋" w:eastAsia="仿宋"/>
          <w:snapToGrid w:val="0"/>
          <w:kern w:val="0"/>
          <w:sz w:val="28"/>
          <w:szCs w:val="28"/>
          <w:lang w:bidi="ar"/>
        </w:rPr>
        <w:t>、超高精度工艺制程、彩色化方案</w:t>
      </w:r>
      <w:r>
        <w:rPr>
          <w:rFonts w:ascii="仿宋" w:hAnsi="仿宋" w:eastAsia="仿宋"/>
          <w:snapToGrid w:val="0"/>
          <w:kern w:val="0"/>
          <w:sz w:val="28"/>
          <w:szCs w:val="28"/>
          <w:lang w:bidi="ar"/>
        </w:rPr>
        <w:t>的基础研究，</w:t>
      </w:r>
      <w:r>
        <w:rPr>
          <w:rFonts w:hint="eastAsia" w:ascii="仿宋" w:hAnsi="仿宋" w:eastAsia="仿宋"/>
          <w:snapToGrid w:val="0"/>
          <w:kern w:val="0"/>
          <w:sz w:val="28"/>
          <w:szCs w:val="28"/>
          <w:lang w:bidi="ar"/>
        </w:rPr>
        <w:t>实现微显屏样机交付</w:t>
      </w:r>
      <w:r>
        <w:rPr>
          <w:rFonts w:ascii="仿宋" w:hAnsi="仿宋" w:eastAsia="仿宋"/>
          <w:snapToGrid w:val="0"/>
          <w:kern w:val="0"/>
          <w:sz w:val="28"/>
          <w:szCs w:val="28"/>
          <w:lang w:bidi="ar"/>
        </w:rPr>
        <w:t>。2026-2027年，完成技术整合和系统优化，提升微型显示的整体性能，确立高性能Micro-LED微型显示技术的成熟解决方案，将研究成果广泛应用于AR、VR和头戴显示设备的生产。</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6.</w:t>
      </w:r>
      <w:r>
        <w:rPr>
          <w:rFonts w:hint="eastAsia" w:ascii="黑体" w:hAnsi="黑体" w:eastAsia="黑体" w:cs="黑体"/>
          <w:b w:val="0"/>
          <w:bCs w:val="0"/>
        </w:rPr>
        <w:t>Micro</w:t>
      </w:r>
      <w:r>
        <w:rPr>
          <w:rFonts w:ascii="黑体" w:hAnsi="黑体" w:eastAsia="黑体" w:cs="黑体"/>
          <w:b w:val="0"/>
          <w:bCs w:val="0"/>
        </w:rPr>
        <w:t>-LED</w:t>
      </w:r>
      <w:r>
        <w:rPr>
          <w:rFonts w:hint="eastAsia" w:ascii="黑体" w:hAnsi="黑体" w:eastAsia="黑体" w:cs="黑体"/>
          <w:b w:val="0"/>
          <w:bCs w:val="0"/>
        </w:rPr>
        <w:t>无缝拼接</w:t>
      </w:r>
    </w:p>
    <w:p>
      <w:pPr>
        <w:pageBreakBefore w:val="0"/>
        <w:widowControl w:val="0"/>
        <w:kinsoku/>
        <w:wordWrap/>
        <w:overflowPunct/>
        <w:topLinePunct w:val="0"/>
        <w:bidi w:val="0"/>
        <w:snapToGrid/>
        <w:spacing w:line="560" w:lineRule="exact"/>
        <w:ind w:firstLine="560" w:firstLineChars="200"/>
        <w:textAlignment w:val="auto"/>
        <w:rPr>
          <w:rFonts w:ascii="仿宋_GB2312" w:hAnsi="仿宋_GB2312" w:eastAsia="仿宋_GB2312" w:cs="仿宋_GB2312"/>
          <w:kern w:val="0"/>
          <w:sz w:val="28"/>
          <w:szCs w:val="28"/>
        </w:rPr>
      </w:pPr>
      <w:r>
        <w:rPr>
          <w:rFonts w:ascii="仿宋_GB2312" w:hAnsi="仿宋_GB2312" w:eastAsia="仿宋_GB2312" w:cs="仿宋_GB2312"/>
          <w:kern w:val="0"/>
          <w:sz w:val="28"/>
          <w:szCs w:val="28"/>
        </w:rPr>
        <w:t>开展无边框驱动电路、无缝拼接封装叠构技术、无边框布线驱动电路、模块化拼接技术等方面研究，实现显示屏拼接处的无缝连接，使多个模块的边缘不可见，呈现出统一和连续的显示效果。以完成可应用于PID商业显示产品为目标，基于LED芯片开发与之对应的巨量转移封装技术，实现无缝拼接Micro-LED产品的工艺流程开发，最终实现具有小批量量产交付能力。</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kern w:val="0"/>
          <w:sz w:val="28"/>
          <w:szCs w:val="28"/>
        </w:rPr>
      </w:pPr>
      <w:r>
        <w:rPr>
          <w:rFonts w:ascii="仿宋_GB2312" w:hAnsi="仿宋_GB2312" w:eastAsia="仿宋_GB2312" w:cs="仿宋_GB2312"/>
          <w:b/>
          <w:kern w:val="0"/>
          <w:sz w:val="28"/>
          <w:szCs w:val="28"/>
        </w:rPr>
        <w:t>承担单位：</w:t>
      </w:r>
      <w:r>
        <w:rPr>
          <w:rFonts w:ascii="仿宋_GB2312" w:hAnsi="仿宋_GB2312" w:eastAsia="仿宋_GB2312" w:cs="仿宋_GB2312"/>
          <w:kern w:val="0"/>
          <w:sz w:val="28"/>
          <w:szCs w:val="28"/>
        </w:rPr>
        <w:t>天马新型显示技术研究院（厦门）有限公司、泉州三安半导体科技有限公司、厦门天马微电子有限公司、厦门市未来显示技术研究院</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kern w:val="0"/>
          <w:sz w:val="28"/>
          <w:szCs w:val="28"/>
        </w:rPr>
      </w:pPr>
      <w:r>
        <w:rPr>
          <w:rFonts w:ascii="仿宋_GB2312" w:hAnsi="仿宋_GB2312" w:eastAsia="仿宋_GB2312" w:cs="仿宋_GB2312"/>
          <w:b/>
          <w:kern w:val="0"/>
          <w:sz w:val="28"/>
          <w:szCs w:val="28"/>
        </w:rPr>
        <w:t>计划安排：</w:t>
      </w:r>
      <w:r>
        <w:rPr>
          <w:rFonts w:ascii="仿宋_GB2312" w:hAnsi="仿宋_GB2312" w:eastAsia="仿宋_GB2312" w:cs="仿宋_GB2312"/>
          <w:kern w:val="0"/>
          <w:sz w:val="28"/>
          <w:szCs w:val="28"/>
        </w:rPr>
        <w:t>2024-2025年，完成基板设计可行性评价、工艺评估、设计研究，制定项目整体方案，明确技术路线，完成外延工艺开发与优化，设备安装与调试。2026-2027年，基于Micro-LED的PID显示驱动电路设计及工艺开发，完成适用于PID的驱动像素结构研究与开发、适用于PID的无边框面板结构布局研究、适用于PID的高均一性像素驱动模式开发；完成Micro-LED和LED微显示样品试做和产品中批量验证，达到项目要求所需规格，实现样机交付。</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7</w:t>
      </w:r>
      <w:r>
        <w:rPr>
          <w:rFonts w:hint="eastAsia" w:ascii="黑体" w:hAnsi="黑体" w:eastAsia="黑体" w:cs="黑体"/>
          <w:b w:val="0"/>
          <w:bCs w:val="0"/>
        </w:rPr>
        <w:t>.超大容量微纳LED显示</w:t>
      </w:r>
    </w:p>
    <w:p>
      <w:pPr>
        <w:pageBreakBefore w:val="0"/>
        <w:widowControl w:val="0"/>
        <w:kinsoku/>
        <w:wordWrap/>
        <w:overflowPunct/>
        <w:topLinePunct w:val="0"/>
        <w:bidi w:val="0"/>
        <w:snapToGrid/>
        <w:spacing w:line="56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面向超大容量微纳LED显示的高性能发光材料设计合成研究、高量子效率微纳LED器件研究、微纳尺度下的光耦合与光提取新机制与结构研究、微纳尺度下新型电驱动技术与灰度调控技术研究、微纳LED像素结构设计，开发高出光率与低串扰微纳发光器件结构，突破高性能微纳像素结构的高效制备技术，建立微纳LED的电学光学模拟仿真与设计，研究超大容量显示的驱动电极优化策略，最终</w:t>
      </w:r>
      <w:r>
        <w:rPr>
          <w:rFonts w:ascii="仿宋_GB2312" w:hAnsi="仿宋_GB2312" w:eastAsia="仿宋_GB2312" w:cs="仿宋_GB2312"/>
          <w:kern w:val="0"/>
          <w:sz w:val="28"/>
          <w:szCs w:val="28"/>
        </w:rPr>
        <w:t>实现超大容量</w:t>
      </w:r>
      <w:r>
        <w:rPr>
          <w:rFonts w:hint="eastAsia" w:ascii="仿宋_GB2312" w:hAnsi="仿宋_GB2312" w:eastAsia="仿宋_GB2312" w:cs="仿宋_GB2312"/>
          <w:kern w:val="0"/>
          <w:sz w:val="28"/>
          <w:szCs w:val="28"/>
        </w:rPr>
        <w:t>微纳LED显示的关键工艺及与之适配的核心材料技术等方面的突破。</w:t>
      </w:r>
    </w:p>
    <w:p>
      <w:pPr>
        <w:pStyle w:val="2"/>
        <w:pageBreakBefore w:val="0"/>
        <w:widowControl w:val="0"/>
        <w:kinsoku/>
        <w:wordWrap/>
        <w:overflowPunct/>
        <w:topLinePunct w:val="0"/>
        <w:bidi w:val="0"/>
        <w:snapToGrid/>
        <w:spacing w:after="0" w:line="560" w:lineRule="exact"/>
        <w:ind w:firstLine="562" w:firstLineChars="200"/>
        <w:textAlignment w:val="auto"/>
        <w:rPr>
          <w:rFonts w:ascii="仿宋" w:hAnsi="仿宋" w:eastAsia="仿宋"/>
          <w:b/>
          <w:snapToGrid w:val="0"/>
          <w:kern w:val="0"/>
          <w:sz w:val="28"/>
          <w:szCs w:val="28"/>
          <w:lang w:bidi="ar"/>
        </w:rPr>
      </w:pPr>
      <w:r>
        <w:rPr>
          <w:rFonts w:hint="eastAsia" w:ascii="仿宋" w:hAnsi="仿宋" w:eastAsia="仿宋"/>
          <w:b/>
          <w:snapToGrid w:val="0"/>
          <w:kern w:val="0"/>
          <w:sz w:val="28"/>
          <w:szCs w:val="28"/>
          <w:lang w:bidi="ar"/>
        </w:rPr>
        <w:t>承担单位：</w:t>
      </w:r>
      <w:r>
        <w:rPr>
          <w:rFonts w:ascii="仿宋" w:hAnsi="仿宋" w:eastAsia="仿宋"/>
          <w:snapToGrid w:val="0"/>
          <w:kern w:val="0"/>
          <w:sz w:val="28"/>
          <w:szCs w:val="28"/>
          <w:lang w:bidi="ar"/>
        </w:rPr>
        <w:t>福州大学</w:t>
      </w:r>
    </w:p>
    <w:p>
      <w:pPr>
        <w:pageBreakBefore w:val="0"/>
        <w:widowControl w:val="0"/>
        <w:kinsoku/>
        <w:wordWrap/>
        <w:overflowPunct/>
        <w:topLinePunct w:val="0"/>
        <w:bidi w:val="0"/>
        <w:snapToGrid/>
        <w:spacing w:line="560" w:lineRule="exact"/>
        <w:ind w:firstLine="562" w:firstLineChars="200"/>
        <w:textAlignment w:val="auto"/>
        <w:rPr>
          <w:rFonts w:ascii="仿宋" w:hAnsi="仿宋" w:eastAsia="仿宋"/>
          <w:b/>
          <w:snapToGrid w:val="0"/>
          <w:kern w:val="0"/>
          <w:sz w:val="28"/>
          <w:szCs w:val="28"/>
          <w:lang w:bidi="ar"/>
        </w:rPr>
      </w:pPr>
      <w:r>
        <w:rPr>
          <w:rFonts w:hint="eastAsia" w:ascii="仿宋" w:hAnsi="仿宋" w:eastAsia="仿宋"/>
          <w:b/>
          <w:snapToGrid w:val="0"/>
          <w:kern w:val="0"/>
          <w:sz w:val="28"/>
          <w:szCs w:val="28"/>
          <w:lang w:bidi="ar"/>
        </w:rPr>
        <w:t>计划安排：</w:t>
      </w:r>
      <w:r>
        <w:rPr>
          <w:rFonts w:hint="eastAsia" w:ascii="仿宋_GB2312" w:hAnsi="仿宋_GB2312" w:eastAsia="仿宋_GB2312" w:cs="仿宋_GB2312"/>
          <w:kern w:val="0"/>
          <w:sz w:val="28"/>
          <w:szCs w:val="28"/>
        </w:rPr>
        <w:t>2024-2025年，实现超大容量微纳LED显示高性能发光材料生长技术与阵列化技术的突破，实现超大容量微纳LED显示高性能发光器件设计与制备的突破，开发微纳尺度下新型电驱动技术与灰度调控技术。2026-2027年，掌握超大容量微纳LED显示发光材料、器件和工艺技术整合，完成样机制备。</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8.</w:t>
      </w:r>
      <w:r>
        <w:rPr>
          <w:rFonts w:hint="eastAsia" w:ascii="黑体" w:hAnsi="黑体" w:eastAsia="黑体" w:cs="黑体"/>
          <w:b w:val="0"/>
          <w:bCs w:val="0"/>
        </w:rPr>
        <w:t>Micro-LED投影及近眼显示模组</w:t>
      </w:r>
    </w:p>
    <w:p>
      <w:pPr>
        <w:pageBreakBefore w:val="0"/>
        <w:widowControl w:val="0"/>
        <w:kinsoku/>
        <w:wordWrap/>
        <w:overflowPunct/>
        <w:topLinePunct w:val="0"/>
        <w:bidi w:val="0"/>
        <w:snapToGrid/>
        <w:spacing w:line="56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开展面向投影及近眼显示光源的Micro-LED光提取与光束整形设计，开展Micro-LED光学仿真模型建立和模拟，突破Micro-LED 微纳调光控光器件的批量化试制工艺；开发高准直度和高均匀性Micro-LED投影显示光学引擎，研究Micro-LED投影分辨率提升方法，研究Micro-LED折叠光路虚拟现实光学系统设计，研究基于光波导增强现实近眼显示的光学组合器开发，开展近眼显示光机模组开发及产业化。</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承担单位：</w:t>
      </w:r>
      <w:r>
        <w:rPr>
          <w:rFonts w:hint="eastAsia" w:ascii="仿宋_GB2312" w:hAnsi="仿宋_GB2312" w:eastAsia="仿宋_GB2312" w:cs="仿宋_GB2312"/>
          <w:kern w:val="0"/>
          <w:sz w:val="28"/>
          <w:szCs w:val="28"/>
        </w:rPr>
        <w:t>福州大学</w:t>
      </w:r>
    </w:p>
    <w:p>
      <w:pPr>
        <w:pageBreakBefore w:val="0"/>
        <w:widowControl w:val="0"/>
        <w:kinsoku/>
        <w:wordWrap/>
        <w:overflowPunct/>
        <w:topLinePunct w:val="0"/>
        <w:bidi w:val="0"/>
        <w:snapToGrid/>
        <w:spacing w:line="560" w:lineRule="exact"/>
        <w:ind w:firstLine="562" w:firstLineChars="200"/>
        <w:textAlignment w:val="auto"/>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计划安排：</w:t>
      </w:r>
      <w:r>
        <w:rPr>
          <w:rFonts w:hint="eastAsia" w:ascii="仿宋" w:hAnsi="仿宋" w:eastAsia="仿宋"/>
          <w:snapToGrid w:val="0"/>
          <w:kern w:val="0"/>
          <w:sz w:val="28"/>
          <w:szCs w:val="28"/>
          <w:lang w:bidi="ar"/>
        </w:rPr>
        <w:t>2023-2024年，</w:t>
      </w:r>
      <w:r>
        <w:rPr>
          <w:rFonts w:hint="eastAsia" w:ascii="仿宋_GB2312" w:hAnsi="仿宋_GB2312" w:eastAsia="仿宋_GB2312" w:cs="仿宋_GB2312"/>
          <w:kern w:val="0"/>
          <w:sz w:val="28"/>
          <w:szCs w:val="28"/>
        </w:rPr>
        <w:t>实现Micro-LED光提取与光束整形设计及微纳控光工艺突破。</w:t>
      </w:r>
      <w:r>
        <w:rPr>
          <w:rFonts w:hint="eastAsia" w:ascii="仿宋" w:hAnsi="仿宋" w:eastAsia="仿宋"/>
          <w:snapToGrid w:val="0"/>
          <w:kern w:val="0"/>
          <w:sz w:val="28"/>
          <w:szCs w:val="28"/>
          <w:lang w:bidi="ar"/>
        </w:rPr>
        <w:t>2025-2026年，</w:t>
      </w:r>
      <w:r>
        <w:rPr>
          <w:rFonts w:hint="eastAsia" w:ascii="仿宋_GB2312" w:hAnsi="仿宋_GB2312" w:eastAsia="仿宋_GB2312" w:cs="仿宋_GB2312"/>
          <w:kern w:val="0"/>
          <w:sz w:val="28"/>
          <w:szCs w:val="28"/>
        </w:rPr>
        <w:t>实现Micro-LED投影显示光学引擎开发及产品化，Micro-LED折叠光路及光波导近眼显示光机模组开发及产业化。</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9.</w:t>
      </w:r>
      <w:r>
        <w:rPr>
          <w:rFonts w:hint="eastAsia" w:ascii="黑体" w:hAnsi="黑体" w:eastAsia="黑体" w:cs="黑体"/>
          <w:b w:val="0"/>
          <w:bCs w:val="0"/>
        </w:rPr>
        <w:t>Micro-LED晶圆级巨量检测的PL光致发光</w:t>
      </w:r>
    </w:p>
    <w:p>
      <w:pPr>
        <w:pStyle w:val="2"/>
        <w:pageBreakBefore w:val="0"/>
        <w:widowControl w:val="0"/>
        <w:kinsoku/>
        <w:wordWrap/>
        <w:overflowPunct/>
        <w:topLinePunct w:val="0"/>
        <w:bidi w:val="0"/>
        <w:snapToGrid/>
        <w:spacing w:after="0" w:line="560" w:lineRule="exact"/>
        <w:ind w:firstLine="560" w:firstLineChars="200"/>
        <w:textAlignment w:val="auto"/>
        <w:rPr>
          <w:rFonts w:ascii="仿宋" w:hAnsi="仿宋" w:eastAsia="仿宋"/>
          <w:snapToGrid w:val="0"/>
          <w:kern w:val="0"/>
          <w:sz w:val="28"/>
          <w:szCs w:val="28"/>
          <w:lang w:bidi="ar"/>
        </w:rPr>
      </w:pPr>
      <w:r>
        <w:rPr>
          <w:rFonts w:ascii="仿宋" w:hAnsi="仿宋" w:eastAsia="仿宋"/>
          <w:snapToGrid w:val="0"/>
          <w:kern w:val="0"/>
          <w:sz w:val="28"/>
          <w:szCs w:val="28"/>
          <w:lang w:bidi="ar"/>
        </w:rPr>
        <w:t>开发用于Micro-LED晶圆级巨量检测的PL（Photoluminescence）技术，将特定光束作为驱动力，代替探针接触向Micro-LED芯片注入能量实现无接触的Micro-LED发光，继而实现对Micro-LED光学和光谱学检测。开发Micro-LED晶圆级PL巨量检测系统，实现Micro-LED的发光强度和光谱指标的检测，攻克Micro-LED微型化后生产链路中的工艺控制和良率监控难题，填补国内Micro-LED晶圆级光致发光检测的技术空白。</w:t>
      </w:r>
    </w:p>
    <w:p>
      <w:pPr>
        <w:pStyle w:val="2"/>
        <w:pageBreakBefore w:val="0"/>
        <w:widowControl w:val="0"/>
        <w:kinsoku/>
        <w:wordWrap/>
        <w:overflowPunct/>
        <w:topLinePunct w:val="0"/>
        <w:bidi w:val="0"/>
        <w:snapToGrid/>
        <w:spacing w:after="0" w:line="560" w:lineRule="exact"/>
        <w:ind w:firstLine="562" w:firstLineChars="200"/>
        <w:textAlignment w:val="auto"/>
        <w:rPr>
          <w:rFonts w:ascii="仿宋" w:hAnsi="仿宋" w:eastAsia="仿宋"/>
          <w:snapToGrid w:val="0"/>
          <w:kern w:val="0"/>
          <w:sz w:val="28"/>
          <w:szCs w:val="28"/>
          <w:lang w:bidi="ar"/>
        </w:rPr>
      </w:pPr>
      <w:r>
        <w:rPr>
          <w:rFonts w:hint="eastAsia" w:ascii="仿宋" w:hAnsi="仿宋" w:eastAsia="仿宋"/>
          <w:b/>
          <w:snapToGrid w:val="0"/>
          <w:kern w:val="0"/>
          <w:sz w:val="28"/>
          <w:szCs w:val="28"/>
          <w:lang w:bidi="ar"/>
        </w:rPr>
        <w:t>承担单位：</w:t>
      </w:r>
      <w:r>
        <w:rPr>
          <w:rFonts w:hint="eastAsia" w:ascii="仿宋" w:hAnsi="仿宋" w:eastAsia="仿宋"/>
          <w:snapToGrid w:val="0"/>
          <w:kern w:val="0"/>
          <w:sz w:val="28"/>
          <w:szCs w:val="28"/>
          <w:lang w:bidi="ar"/>
        </w:rPr>
        <w:t>深圳市</w:t>
      </w:r>
      <w:r>
        <w:rPr>
          <w:rFonts w:ascii="仿宋" w:hAnsi="仿宋" w:eastAsia="仿宋"/>
          <w:snapToGrid w:val="0"/>
          <w:kern w:val="0"/>
          <w:sz w:val="28"/>
          <w:szCs w:val="28"/>
          <w:lang w:bidi="ar"/>
        </w:rPr>
        <w:t>壹倍科技有限公司</w:t>
      </w:r>
    </w:p>
    <w:p>
      <w:pPr>
        <w:pStyle w:val="2"/>
        <w:pageBreakBefore w:val="0"/>
        <w:widowControl w:val="0"/>
        <w:kinsoku/>
        <w:wordWrap/>
        <w:overflowPunct/>
        <w:topLinePunct w:val="0"/>
        <w:bidi w:val="0"/>
        <w:snapToGrid/>
        <w:spacing w:after="0" w:line="560" w:lineRule="exact"/>
        <w:ind w:firstLine="562" w:firstLineChars="200"/>
        <w:textAlignment w:val="auto"/>
        <w:rPr>
          <w:rFonts w:ascii="仿宋" w:hAnsi="仿宋" w:eastAsia="仿宋"/>
          <w:b/>
          <w:snapToGrid w:val="0"/>
          <w:kern w:val="0"/>
          <w:sz w:val="28"/>
          <w:szCs w:val="28"/>
          <w:lang w:bidi="ar"/>
        </w:rPr>
      </w:pPr>
      <w:r>
        <w:rPr>
          <w:rFonts w:hint="eastAsia" w:ascii="仿宋" w:hAnsi="仿宋" w:eastAsia="仿宋"/>
          <w:b/>
          <w:snapToGrid w:val="0"/>
          <w:kern w:val="0"/>
          <w:sz w:val="28"/>
          <w:szCs w:val="28"/>
          <w:lang w:bidi="ar"/>
        </w:rPr>
        <w:t>计划安排：</w:t>
      </w:r>
      <w:r>
        <w:rPr>
          <w:rFonts w:ascii="仿宋" w:hAnsi="仿宋" w:eastAsia="仿宋"/>
          <w:snapToGrid w:val="0"/>
          <w:kern w:val="0"/>
          <w:sz w:val="28"/>
          <w:szCs w:val="28"/>
          <w:lang w:bidi="ar"/>
        </w:rPr>
        <w:t>2024年-2025年，完成系统关键部件和模块的设计并制造，集成Micro-LED新型显示的晶圆级PL巨量检测样机，完成Micro-LED晶圆级检测技术的产线验证，参与和制定工艺、装备规范或标准。2026年-2027年，参与和制定工艺、装备规范或标准，完成系统检测成本的优化，并将相关技术应用拓展至其他化合物半导体的性能和缺陷检测领域，完成系列成果转化，实现样机或产品交付。</w:t>
      </w:r>
    </w:p>
    <w:p>
      <w:pPr>
        <w:pStyle w:val="4"/>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sz w:val="28"/>
          <w:szCs w:val="28"/>
        </w:rPr>
      </w:pPr>
      <w:r>
        <w:rPr>
          <w:rFonts w:hint="eastAsia" w:ascii="黑体" w:hAnsi="黑体" w:eastAsia="黑体" w:cs="黑体"/>
          <w:b w:val="0"/>
          <w:bCs w:val="0"/>
          <w:sz w:val="28"/>
          <w:szCs w:val="28"/>
        </w:rPr>
        <w:t>（二）科技创新共享平台</w:t>
      </w:r>
    </w:p>
    <w:p>
      <w:pPr>
        <w:pStyle w:val="2"/>
        <w:pageBreakBefore w:val="0"/>
        <w:widowControl w:val="0"/>
        <w:kinsoku/>
        <w:wordWrap/>
        <w:overflowPunct/>
        <w:topLinePunct w:val="0"/>
        <w:bidi w:val="0"/>
        <w:snapToGrid/>
        <w:spacing w:after="0" w:line="560" w:lineRule="exact"/>
        <w:ind w:firstLine="560" w:firstLineChars="200"/>
        <w:textAlignment w:val="auto"/>
        <w:rPr>
          <w:rFonts w:ascii="仿宋" w:hAnsi="仿宋" w:eastAsia="仿宋"/>
          <w:snapToGrid w:val="0"/>
          <w:kern w:val="0"/>
          <w:sz w:val="28"/>
          <w:szCs w:val="28"/>
          <w:lang w:bidi="ar"/>
        </w:rPr>
      </w:pPr>
      <w:r>
        <w:rPr>
          <w:rFonts w:hint="eastAsia" w:ascii="仿宋" w:hAnsi="仿宋" w:eastAsia="仿宋"/>
          <w:snapToGrid w:val="0"/>
          <w:kern w:val="0"/>
          <w:sz w:val="28"/>
          <w:szCs w:val="28"/>
          <w:lang w:bidi="ar"/>
        </w:rPr>
        <w:t>随着Micro-LED技术的迅速发展和其在新一代显示技术中的显著地位，全球各大头部企业和研究机构都加大了在此领域的研发力度。在技术日新月异、竞争日益激烈的时代背景下，建立一个集研发、测试、验证为一体的共享平台显得尤为重要。本共享平台通过高效整合产业创新资源，为企业和研究机构提供技术攻关、创新和应用的前沿平台，推进Micro-LED技术的产业化进程。</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hint="eastAsia" w:ascii="黑体" w:hAnsi="黑体" w:eastAsia="黑体" w:cs="黑体"/>
          <w:b w:val="0"/>
          <w:bCs w:val="0"/>
        </w:rPr>
        <w:t>1</w:t>
      </w:r>
      <w:r>
        <w:rPr>
          <w:rFonts w:ascii="黑体" w:hAnsi="黑体" w:eastAsia="黑体" w:cs="黑体"/>
          <w:b w:val="0"/>
          <w:bCs w:val="0"/>
        </w:rPr>
        <w:t>.Micro-LED全制程产线平台</w:t>
      </w:r>
    </w:p>
    <w:p>
      <w:pPr>
        <w:pStyle w:val="2"/>
        <w:pageBreakBefore w:val="0"/>
        <w:widowControl w:val="0"/>
        <w:kinsoku/>
        <w:wordWrap/>
        <w:overflowPunct/>
        <w:topLinePunct w:val="0"/>
        <w:bidi w:val="0"/>
        <w:snapToGrid/>
        <w:spacing w:after="0" w:line="560" w:lineRule="exact"/>
        <w:ind w:firstLine="560" w:firstLineChars="200"/>
        <w:textAlignment w:val="auto"/>
        <w:rPr>
          <w:rFonts w:ascii="仿宋" w:hAnsi="仿宋" w:eastAsia="仿宋"/>
          <w:snapToGrid w:val="0"/>
          <w:kern w:val="0"/>
          <w:sz w:val="28"/>
          <w:szCs w:val="28"/>
          <w:lang w:bidi="ar"/>
        </w:rPr>
      </w:pPr>
      <w:r>
        <w:rPr>
          <w:rFonts w:ascii="仿宋" w:hAnsi="仿宋" w:eastAsia="仿宋"/>
          <w:snapToGrid w:val="0"/>
          <w:kern w:val="0"/>
          <w:sz w:val="28"/>
          <w:szCs w:val="28"/>
          <w:lang w:bidi="ar"/>
        </w:rPr>
        <w:t>建设一条从巨量转移到显示模组的全制程Micro-LED产线</w:t>
      </w:r>
      <w:r>
        <w:rPr>
          <w:rFonts w:hint="eastAsia" w:ascii="仿宋" w:hAnsi="仿宋" w:eastAsia="仿宋"/>
          <w:snapToGrid w:val="0"/>
          <w:kern w:val="0"/>
          <w:sz w:val="28"/>
          <w:szCs w:val="28"/>
          <w:lang w:bidi="ar"/>
        </w:rPr>
        <w:t>，打造全行业领先的Micro-LED技术创新研发平台、产品应用开发平台及全行业开放的科研成果转化平台。聚焦TFT玻璃基Micro-LED技术，主要研制车载、大尺寸拼接Micro-LED显示模组产品，</w:t>
      </w:r>
      <w:r>
        <w:rPr>
          <w:rFonts w:ascii="仿宋" w:hAnsi="仿宋" w:eastAsia="仿宋"/>
          <w:snapToGrid w:val="0"/>
          <w:kern w:val="0"/>
          <w:sz w:val="28"/>
          <w:szCs w:val="28"/>
          <w:lang w:bidi="ar"/>
        </w:rPr>
        <w:t>总投资</w:t>
      </w:r>
      <w:r>
        <w:rPr>
          <w:rFonts w:hint="eastAsia" w:ascii="仿宋" w:hAnsi="仿宋" w:eastAsia="仿宋"/>
          <w:snapToGrid w:val="0"/>
          <w:kern w:val="0"/>
          <w:sz w:val="28"/>
          <w:szCs w:val="28"/>
          <w:lang w:bidi="ar"/>
        </w:rPr>
        <w:t>11</w:t>
      </w:r>
      <w:r>
        <w:rPr>
          <w:rFonts w:ascii="仿宋" w:hAnsi="仿宋" w:eastAsia="仿宋"/>
          <w:snapToGrid w:val="0"/>
          <w:kern w:val="0"/>
          <w:sz w:val="28"/>
          <w:szCs w:val="28"/>
          <w:lang w:bidi="ar"/>
        </w:rPr>
        <w:t>亿元</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依托天马全球领先的LTPS</w:t>
      </w:r>
      <w:r>
        <w:rPr>
          <w:rFonts w:hint="eastAsia" w:ascii="仿宋" w:hAnsi="仿宋" w:eastAsia="仿宋"/>
          <w:snapToGrid w:val="0"/>
          <w:kern w:val="0"/>
          <w:sz w:val="28"/>
          <w:szCs w:val="28"/>
          <w:lang w:bidi="ar"/>
        </w:rPr>
        <w:t xml:space="preserve"> </w:t>
      </w:r>
      <w:r>
        <w:rPr>
          <w:rFonts w:ascii="仿宋" w:hAnsi="仿宋" w:eastAsia="仿宋"/>
          <w:snapToGrid w:val="0"/>
          <w:kern w:val="0"/>
          <w:sz w:val="28"/>
          <w:szCs w:val="28"/>
          <w:lang w:bidi="ar"/>
        </w:rPr>
        <w:t>TFT背板技术，</w:t>
      </w:r>
      <w:r>
        <w:rPr>
          <w:rFonts w:hint="eastAsia" w:ascii="仿宋" w:hAnsi="仿宋" w:eastAsia="仿宋"/>
          <w:snapToGrid w:val="0"/>
          <w:kern w:val="0"/>
          <w:sz w:val="28"/>
          <w:szCs w:val="28"/>
          <w:lang w:bidi="ar"/>
        </w:rPr>
        <w:t>联合产业链上下游及顶级科研院所，核心攻关巨量转移、巨量检测修补、封装模组、拼接模组等工艺技术，形成大规模Micro-LED自主知识产权，加速实现Micro-LED产业化量产</w:t>
      </w:r>
      <w:r>
        <w:rPr>
          <w:rFonts w:ascii="仿宋" w:hAnsi="仿宋" w:eastAsia="仿宋"/>
          <w:snapToGrid w:val="0"/>
          <w:kern w:val="0"/>
          <w:sz w:val="28"/>
          <w:szCs w:val="28"/>
          <w:lang w:bidi="ar"/>
        </w:rPr>
        <w:t>。</w:t>
      </w:r>
    </w:p>
    <w:p>
      <w:pPr>
        <w:pStyle w:val="2"/>
        <w:pageBreakBefore w:val="0"/>
        <w:widowControl w:val="0"/>
        <w:kinsoku/>
        <w:wordWrap/>
        <w:overflowPunct/>
        <w:topLinePunct w:val="0"/>
        <w:bidi w:val="0"/>
        <w:snapToGrid/>
        <w:spacing w:after="0" w:line="560" w:lineRule="exact"/>
        <w:ind w:firstLine="562" w:firstLineChars="200"/>
        <w:textAlignment w:val="auto"/>
        <w:rPr>
          <w:rFonts w:ascii="仿宋" w:hAnsi="仿宋" w:eastAsia="仿宋"/>
          <w:b/>
          <w:bCs/>
          <w:snapToGrid w:val="0"/>
          <w:kern w:val="0"/>
          <w:sz w:val="28"/>
          <w:szCs w:val="28"/>
          <w:lang w:bidi="ar"/>
        </w:rPr>
      </w:pPr>
      <w:r>
        <w:rPr>
          <w:rFonts w:hint="eastAsia" w:ascii="仿宋" w:hAnsi="仿宋" w:eastAsia="仿宋"/>
          <w:b/>
          <w:bCs/>
          <w:snapToGrid w:val="0"/>
          <w:kern w:val="0"/>
          <w:sz w:val="28"/>
          <w:szCs w:val="28"/>
          <w:lang w:bidi="ar"/>
        </w:rPr>
        <w:t>承担单位：</w:t>
      </w:r>
      <w:r>
        <w:rPr>
          <w:rFonts w:hint="eastAsia" w:ascii="仿宋" w:hAnsi="仿宋" w:eastAsia="仿宋"/>
          <w:bCs/>
          <w:snapToGrid w:val="0"/>
          <w:kern w:val="0"/>
          <w:sz w:val="28"/>
          <w:szCs w:val="28"/>
          <w:lang w:bidi="ar"/>
        </w:rPr>
        <w:t>天马新型显示技术研究院（厦门）有限公司、厦门天马微电子有限公司</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2.Micro-LED</w:t>
      </w:r>
      <w:r>
        <w:rPr>
          <w:rFonts w:hint="eastAsia" w:ascii="黑体" w:hAnsi="黑体" w:eastAsia="黑体" w:cs="黑体"/>
          <w:b w:val="0"/>
          <w:bCs w:val="0"/>
        </w:rPr>
        <w:t>设计平台</w:t>
      </w:r>
    </w:p>
    <w:p>
      <w:pPr>
        <w:pStyle w:val="2"/>
        <w:pageBreakBefore w:val="0"/>
        <w:widowControl w:val="0"/>
        <w:kinsoku/>
        <w:wordWrap/>
        <w:overflowPunct/>
        <w:topLinePunct w:val="0"/>
        <w:bidi w:val="0"/>
        <w:snapToGrid/>
        <w:spacing w:after="0" w:line="560" w:lineRule="exact"/>
        <w:ind w:firstLine="560" w:firstLineChars="200"/>
        <w:textAlignment w:val="auto"/>
        <w:rPr>
          <w:rFonts w:ascii="仿宋" w:hAnsi="仿宋" w:eastAsia="仿宋"/>
          <w:snapToGrid w:val="0"/>
          <w:kern w:val="0"/>
          <w:sz w:val="28"/>
          <w:szCs w:val="28"/>
          <w:lang w:bidi="ar"/>
        </w:rPr>
      </w:pPr>
      <w:r>
        <w:rPr>
          <w:rFonts w:hint="eastAsia" w:ascii="仿宋" w:hAnsi="仿宋" w:eastAsia="仿宋"/>
          <w:snapToGrid w:val="0"/>
          <w:kern w:val="0"/>
          <w:sz w:val="28"/>
          <w:szCs w:val="28"/>
          <w:lang w:bidi="ar"/>
        </w:rPr>
        <w:t>打造集合领先的设计方法和工具的平台，为Micro-LED产品设计提供强大的支持。</w:t>
      </w:r>
      <w:r>
        <w:rPr>
          <w:rFonts w:ascii="仿宋" w:hAnsi="仿宋" w:eastAsia="仿宋"/>
          <w:snapToGrid w:val="0"/>
          <w:kern w:val="0"/>
          <w:sz w:val="28"/>
          <w:szCs w:val="28"/>
          <w:lang w:bidi="ar"/>
        </w:rPr>
        <w:t>结合人工智能技术，创新推出高效的Micro-LED芯片设计方法，旨在快速、高效地完成设计，显著缩短验证周期。平台</w:t>
      </w:r>
      <w:r>
        <w:rPr>
          <w:rFonts w:hint="eastAsia" w:ascii="仿宋" w:hAnsi="仿宋" w:eastAsia="仿宋"/>
          <w:snapToGrid w:val="0"/>
          <w:kern w:val="0"/>
          <w:sz w:val="28"/>
          <w:szCs w:val="28"/>
          <w:lang w:bidi="ar"/>
        </w:rPr>
        <w:t>重点面向M</w:t>
      </w:r>
      <w:r>
        <w:rPr>
          <w:rFonts w:ascii="仿宋" w:hAnsi="仿宋" w:eastAsia="仿宋"/>
          <w:snapToGrid w:val="0"/>
          <w:kern w:val="0"/>
          <w:sz w:val="28"/>
          <w:szCs w:val="28"/>
          <w:lang w:bidi="ar"/>
        </w:rPr>
        <w:t>icro-LED</w:t>
      </w:r>
      <w:r>
        <w:rPr>
          <w:rFonts w:hint="eastAsia" w:ascii="仿宋" w:hAnsi="仿宋" w:eastAsia="仿宋"/>
          <w:snapToGrid w:val="0"/>
          <w:kern w:val="0"/>
          <w:sz w:val="28"/>
          <w:szCs w:val="28"/>
          <w:lang w:bidi="ar"/>
        </w:rPr>
        <w:t>显示设计领域的急迫需求，搭建智算中心，为面板</w:t>
      </w:r>
      <w:r>
        <w:rPr>
          <w:rFonts w:ascii="仿宋" w:hAnsi="仿宋" w:eastAsia="仿宋"/>
          <w:snapToGrid w:val="0"/>
          <w:kern w:val="0"/>
          <w:sz w:val="28"/>
          <w:szCs w:val="28"/>
          <w:lang w:bidi="ar"/>
        </w:rPr>
        <w:t>设计与仿真</w:t>
      </w:r>
      <w:r>
        <w:rPr>
          <w:rFonts w:hint="eastAsia" w:ascii="仿宋" w:hAnsi="仿宋" w:eastAsia="仿宋"/>
          <w:snapToGrid w:val="0"/>
          <w:kern w:val="0"/>
          <w:sz w:val="28"/>
          <w:szCs w:val="28"/>
          <w:lang w:bidi="ar"/>
        </w:rPr>
        <w:t>、外延动力学仿真、器件设计与仿真、光学设计与仿真、工艺创新与优化等全产业、全链条设计工作提供条件</w:t>
      </w:r>
      <w:r>
        <w:rPr>
          <w:rFonts w:ascii="仿宋" w:hAnsi="仿宋" w:eastAsia="仿宋"/>
          <w:snapToGrid w:val="0"/>
          <w:kern w:val="0"/>
          <w:sz w:val="28"/>
          <w:szCs w:val="28"/>
          <w:lang w:bidi="ar"/>
        </w:rPr>
        <w:t>。为Micro-LED行业构建一个前沿、高</w:t>
      </w:r>
      <w:r>
        <w:rPr>
          <w:rFonts w:hint="eastAsia" w:ascii="仿宋" w:hAnsi="仿宋" w:eastAsia="仿宋"/>
          <w:snapToGrid w:val="0"/>
          <w:kern w:val="0"/>
          <w:sz w:val="28"/>
          <w:szCs w:val="28"/>
          <w:lang w:bidi="ar"/>
        </w:rPr>
        <w:t>效的设计解决方案。</w:t>
      </w:r>
    </w:p>
    <w:p>
      <w:pPr>
        <w:pStyle w:val="2"/>
        <w:pageBreakBefore w:val="0"/>
        <w:widowControl w:val="0"/>
        <w:kinsoku/>
        <w:wordWrap/>
        <w:overflowPunct/>
        <w:topLinePunct w:val="0"/>
        <w:bidi w:val="0"/>
        <w:snapToGrid/>
        <w:spacing w:after="0" w:line="560" w:lineRule="exact"/>
        <w:ind w:firstLine="562" w:firstLineChars="200"/>
        <w:textAlignment w:val="auto"/>
        <w:rPr>
          <w:rFonts w:ascii="仿宋" w:hAnsi="仿宋" w:eastAsia="仿宋"/>
          <w:snapToGrid w:val="0"/>
          <w:kern w:val="0"/>
          <w:sz w:val="28"/>
          <w:szCs w:val="28"/>
          <w:lang w:bidi="ar"/>
        </w:rPr>
      </w:pPr>
      <w:r>
        <w:rPr>
          <w:rFonts w:ascii="仿宋" w:hAnsi="仿宋" w:eastAsia="仿宋"/>
          <w:b/>
          <w:snapToGrid w:val="0"/>
          <w:kern w:val="0"/>
          <w:sz w:val="28"/>
          <w:szCs w:val="28"/>
          <w:lang w:bidi="ar"/>
        </w:rPr>
        <w:t>承担单位：</w:t>
      </w:r>
      <w:r>
        <w:rPr>
          <w:rFonts w:hint="eastAsia" w:ascii="仿宋" w:hAnsi="仿宋" w:eastAsia="仿宋"/>
          <w:snapToGrid w:val="0"/>
          <w:kern w:val="0"/>
          <w:sz w:val="28"/>
          <w:szCs w:val="28"/>
          <w:lang w:bidi="ar"/>
        </w:rPr>
        <w:t>厦门天马微电子有限公司</w:t>
      </w:r>
      <w:r>
        <w:rPr>
          <w:rFonts w:ascii="仿宋" w:hAnsi="仿宋" w:eastAsia="仿宋"/>
          <w:snapToGrid w:val="0"/>
          <w:kern w:val="0"/>
          <w:sz w:val="28"/>
          <w:szCs w:val="28"/>
          <w:lang w:bidi="ar"/>
        </w:rPr>
        <w:t>、</w:t>
      </w:r>
      <w:r>
        <w:rPr>
          <w:rFonts w:hint="eastAsia" w:ascii="仿宋" w:hAnsi="仿宋" w:eastAsia="仿宋"/>
          <w:snapToGrid w:val="0"/>
          <w:kern w:val="0"/>
          <w:sz w:val="28"/>
          <w:szCs w:val="28"/>
          <w:lang w:bidi="ar"/>
        </w:rPr>
        <w:t>泉州三安半导体科技有限公司、厦门乾照光电股份有限公司</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3.Micro-LED</w:t>
      </w:r>
      <w:r>
        <w:rPr>
          <w:rFonts w:hint="eastAsia" w:ascii="黑体" w:hAnsi="黑体" w:eastAsia="黑体" w:cs="黑体"/>
          <w:b w:val="0"/>
          <w:bCs w:val="0"/>
        </w:rPr>
        <w:t>先进工艺开发平台</w:t>
      </w:r>
    </w:p>
    <w:p>
      <w:pPr>
        <w:pStyle w:val="2"/>
        <w:pageBreakBefore w:val="0"/>
        <w:widowControl w:val="0"/>
        <w:kinsoku/>
        <w:wordWrap/>
        <w:overflowPunct/>
        <w:topLinePunct w:val="0"/>
        <w:bidi w:val="0"/>
        <w:snapToGrid/>
        <w:spacing w:after="0" w:line="560" w:lineRule="exact"/>
        <w:ind w:firstLine="560" w:firstLineChars="200"/>
        <w:textAlignment w:val="auto"/>
        <w:rPr>
          <w:rFonts w:ascii="仿宋" w:hAnsi="仿宋" w:eastAsia="仿宋"/>
          <w:b/>
          <w:bCs/>
          <w:snapToGrid w:val="0"/>
          <w:kern w:val="0"/>
          <w:sz w:val="28"/>
          <w:szCs w:val="28"/>
          <w:lang w:bidi="ar"/>
        </w:rPr>
      </w:pPr>
      <w:r>
        <w:rPr>
          <w:rFonts w:hint="eastAsia" w:ascii="仿宋" w:hAnsi="仿宋" w:eastAsia="仿宋"/>
          <w:bCs/>
          <w:snapToGrid w:val="0"/>
          <w:kern w:val="0"/>
          <w:sz w:val="28"/>
          <w:szCs w:val="28"/>
          <w:lang w:bidi="ar"/>
        </w:rPr>
        <w:t>构建一个全面、系统的平台，开发Micro-LED先进制程工艺。确保技术在向产业化转化时，满足生产效率和质量需求。</w:t>
      </w:r>
      <w:r>
        <w:rPr>
          <w:rFonts w:ascii="仿宋" w:hAnsi="仿宋" w:eastAsia="仿宋"/>
          <w:bCs/>
          <w:snapToGrid w:val="0"/>
          <w:kern w:val="0"/>
          <w:sz w:val="28"/>
          <w:szCs w:val="28"/>
          <w:lang w:bidi="ar"/>
        </w:rPr>
        <w:t>平台旨在集结各类高端设备，确保设备种类齐全且先进，满足Micro-LED各类工艺开发及技术验证的需求。将提供从材料选择、器件制造到封装测试的全流程工艺</w:t>
      </w:r>
      <w:r>
        <w:rPr>
          <w:rFonts w:hint="eastAsia" w:ascii="仿宋" w:hAnsi="仿宋" w:eastAsia="仿宋"/>
          <w:bCs/>
          <w:snapToGrid w:val="0"/>
          <w:kern w:val="0"/>
          <w:sz w:val="28"/>
          <w:szCs w:val="28"/>
          <w:lang w:bidi="ar"/>
        </w:rPr>
        <w:t>开发与验证</w:t>
      </w:r>
      <w:r>
        <w:rPr>
          <w:rFonts w:ascii="仿宋" w:hAnsi="仿宋" w:eastAsia="仿宋"/>
          <w:bCs/>
          <w:snapToGrid w:val="0"/>
          <w:kern w:val="0"/>
          <w:sz w:val="28"/>
          <w:szCs w:val="28"/>
          <w:lang w:bidi="ar"/>
        </w:rPr>
        <w:t>，</w:t>
      </w:r>
      <w:r>
        <w:rPr>
          <w:rFonts w:hint="eastAsia" w:ascii="仿宋" w:hAnsi="仿宋" w:eastAsia="仿宋"/>
          <w:bCs/>
          <w:snapToGrid w:val="0"/>
          <w:kern w:val="0"/>
          <w:sz w:val="28"/>
          <w:szCs w:val="28"/>
          <w:lang w:bidi="ar"/>
        </w:rPr>
        <w:t>开发</w:t>
      </w:r>
      <w:r>
        <w:rPr>
          <w:rFonts w:ascii="仿宋" w:hAnsi="仿宋" w:eastAsia="仿宋"/>
          <w:bCs/>
          <w:snapToGrid w:val="0"/>
          <w:kern w:val="0"/>
          <w:sz w:val="28"/>
          <w:szCs w:val="28"/>
          <w:lang w:bidi="ar"/>
        </w:rPr>
        <w:t>新技术、新方法</w:t>
      </w:r>
      <w:r>
        <w:rPr>
          <w:rFonts w:hint="eastAsia" w:ascii="仿宋" w:hAnsi="仿宋" w:eastAsia="仿宋"/>
          <w:bCs/>
          <w:snapToGrid w:val="0"/>
          <w:kern w:val="0"/>
          <w:sz w:val="28"/>
          <w:szCs w:val="28"/>
          <w:lang w:bidi="ar"/>
        </w:rPr>
        <w:t>与</w:t>
      </w:r>
      <w:r>
        <w:rPr>
          <w:rFonts w:ascii="仿宋" w:hAnsi="仿宋" w:eastAsia="仿宋"/>
          <w:bCs/>
          <w:snapToGrid w:val="0"/>
          <w:kern w:val="0"/>
          <w:sz w:val="28"/>
          <w:szCs w:val="28"/>
          <w:lang w:bidi="ar"/>
        </w:rPr>
        <w:t>新工艺。为Micro-LED产业提供稳定、高效</w:t>
      </w:r>
      <w:r>
        <w:rPr>
          <w:rFonts w:hint="eastAsia" w:ascii="仿宋" w:hAnsi="仿宋" w:eastAsia="仿宋"/>
          <w:bCs/>
          <w:snapToGrid w:val="0"/>
          <w:kern w:val="0"/>
          <w:sz w:val="28"/>
          <w:szCs w:val="28"/>
          <w:lang w:bidi="ar"/>
        </w:rPr>
        <w:t>、可产业化的</w:t>
      </w:r>
      <w:r>
        <w:rPr>
          <w:rFonts w:ascii="仿宋" w:hAnsi="仿宋" w:eastAsia="仿宋"/>
          <w:bCs/>
          <w:snapToGrid w:val="0"/>
          <w:kern w:val="0"/>
          <w:sz w:val="28"/>
          <w:szCs w:val="28"/>
          <w:lang w:bidi="ar"/>
        </w:rPr>
        <w:t>工艺解决方案。</w:t>
      </w:r>
    </w:p>
    <w:p>
      <w:pPr>
        <w:pStyle w:val="2"/>
        <w:pageBreakBefore w:val="0"/>
        <w:widowControl w:val="0"/>
        <w:kinsoku/>
        <w:wordWrap/>
        <w:overflowPunct/>
        <w:topLinePunct w:val="0"/>
        <w:bidi w:val="0"/>
        <w:snapToGrid/>
        <w:spacing w:after="0" w:line="560" w:lineRule="exact"/>
        <w:ind w:firstLine="562" w:firstLineChars="200"/>
        <w:textAlignment w:val="auto"/>
        <w:rPr>
          <w:rFonts w:ascii="仿宋" w:hAnsi="仿宋" w:eastAsia="仿宋"/>
          <w:bCs/>
          <w:snapToGrid w:val="0"/>
          <w:kern w:val="0"/>
          <w:sz w:val="28"/>
          <w:szCs w:val="28"/>
          <w:lang w:bidi="ar"/>
        </w:rPr>
      </w:pPr>
      <w:r>
        <w:rPr>
          <w:rFonts w:ascii="仿宋" w:hAnsi="仿宋" w:eastAsia="仿宋"/>
          <w:b/>
          <w:snapToGrid w:val="0"/>
          <w:kern w:val="0"/>
          <w:sz w:val="28"/>
          <w:szCs w:val="28"/>
          <w:lang w:bidi="ar"/>
        </w:rPr>
        <w:t>承担单位：</w:t>
      </w:r>
      <w:r>
        <w:rPr>
          <w:rFonts w:hint="eastAsia" w:ascii="仿宋" w:hAnsi="仿宋" w:eastAsia="仿宋"/>
          <w:snapToGrid w:val="0"/>
          <w:kern w:val="0"/>
          <w:sz w:val="28"/>
          <w:szCs w:val="28"/>
          <w:lang w:bidi="ar"/>
        </w:rPr>
        <w:t>厦门市未来显示技术研究院、</w:t>
      </w:r>
      <w:r>
        <w:rPr>
          <w:rFonts w:hint="eastAsia" w:ascii="仿宋" w:hAnsi="仿宋" w:eastAsia="仿宋"/>
          <w:bCs/>
          <w:snapToGrid w:val="0"/>
          <w:kern w:val="0"/>
          <w:sz w:val="28"/>
          <w:szCs w:val="28"/>
          <w:lang w:bidi="ar"/>
        </w:rPr>
        <w:t>天马新型显示技术研究院（厦门）有限公司、泉州三安半导体科技有限公司、厦门乾照光电股份有限公司</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4.Micro-LED</w:t>
      </w:r>
      <w:r>
        <w:rPr>
          <w:rFonts w:hint="eastAsia" w:ascii="黑体" w:hAnsi="黑体" w:eastAsia="黑体" w:cs="黑体"/>
          <w:b w:val="0"/>
          <w:bCs w:val="0"/>
        </w:rPr>
        <w:t>测试与标准化平台</w:t>
      </w:r>
    </w:p>
    <w:p>
      <w:pPr>
        <w:pStyle w:val="2"/>
        <w:pageBreakBefore w:val="0"/>
        <w:widowControl w:val="0"/>
        <w:kinsoku/>
        <w:wordWrap/>
        <w:overflowPunct/>
        <w:topLinePunct w:val="0"/>
        <w:bidi w:val="0"/>
        <w:snapToGrid/>
        <w:spacing w:after="0" w:line="560" w:lineRule="exact"/>
        <w:ind w:firstLine="560" w:firstLineChars="200"/>
        <w:textAlignment w:val="auto"/>
        <w:rPr>
          <w:rFonts w:ascii="仿宋" w:hAnsi="仿宋" w:eastAsia="仿宋"/>
          <w:b/>
          <w:bCs/>
          <w:snapToGrid w:val="0"/>
          <w:kern w:val="0"/>
          <w:sz w:val="28"/>
          <w:szCs w:val="28"/>
          <w:lang w:bidi="ar"/>
        </w:rPr>
      </w:pPr>
      <w:r>
        <w:rPr>
          <w:rFonts w:hint="eastAsia" w:ascii="仿宋" w:hAnsi="仿宋" w:eastAsia="仿宋"/>
          <w:bCs/>
          <w:snapToGrid w:val="0"/>
          <w:kern w:val="0"/>
          <w:sz w:val="28"/>
          <w:szCs w:val="28"/>
          <w:lang w:bidi="ar"/>
        </w:rPr>
        <w:t>通过突破高灵敏度、高空间分辨率、高可靠性的</w:t>
      </w:r>
      <w:r>
        <w:rPr>
          <w:rFonts w:ascii="仿宋" w:hAnsi="仿宋" w:eastAsia="仿宋"/>
          <w:bCs/>
          <w:snapToGrid w:val="0"/>
          <w:kern w:val="0"/>
          <w:sz w:val="28"/>
          <w:szCs w:val="28"/>
          <w:lang w:bidi="ar"/>
        </w:rPr>
        <w:t>Micro-LED测量技术，建立Micro-LED标准化综合测试能力，以科技研发提升技术标准水平，以技术标准促进科</w:t>
      </w:r>
      <w:r>
        <w:rPr>
          <w:rFonts w:hint="eastAsia" w:ascii="仿宋" w:hAnsi="仿宋" w:eastAsia="仿宋"/>
          <w:bCs/>
          <w:snapToGrid w:val="0"/>
          <w:kern w:val="0"/>
          <w:sz w:val="28"/>
          <w:szCs w:val="28"/>
          <w:lang w:bidi="ar"/>
        </w:rPr>
        <w:t>技成果转化，开放协同、资源共享，协调产业链上中下游发展，推动</w:t>
      </w:r>
      <w:r>
        <w:rPr>
          <w:rFonts w:ascii="仿宋" w:hAnsi="仿宋" w:eastAsia="仿宋"/>
          <w:bCs/>
          <w:snapToGrid w:val="0"/>
          <w:kern w:val="0"/>
          <w:sz w:val="28"/>
          <w:szCs w:val="28"/>
          <w:lang w:bidi="ar"/>
        </w:rPr>
        <w:t>Micro-LED市场应用。</w:t>
      </w:r>
    </w:p>
    <w:p>
      <w:pPr>
        <w:pStyle w:val="2"/>
        <w:pageBreakBefore w:val="0"/>
        <w:widowControl w:val="0"/>
        <w:kinsoku/>
        <w:wordWrap/>
        <w:overflowPunct/>
        <w:topLinePunct w:val="0"/>
        <w:bidi w:val="0"/>
        <w:snapToGrid/>
        <w:spacing w:after="0" w:line="560" w:lineRule="exact"/>
        <w:ind w:firstLine="562" w:firstLineChars="200"/>
        <w:textAlignment w:val="auto"/>
        <w:rPr>
          <w:rFonts w:ascii="仿宋" w:hAnsi="仿宋" w:eastAsia="仿宋"/>
          <w:bCs/>
          <w:snapToGrid w:val="0"/>
          <w:kern w:val="0"/>
          <w:sz w:val="28"/>
          <w:szCs w:val="28"/>
          <w:lang w:bidi="ar"/>
        </w:rPr>
      </w:pPr>
      <w:r>
        <w:rPr>
          <w:rFonts w:ascii="仿宋" w:hAnsi="仿宋" w:eastAsia="仿宋"/>
          <w:b/>
          <w:snapToGrid w:val="0"/>
          <w:kern w:val="0"/>
          <w:sz w:val="28"/>
          <w:szCs w:val="28"/>
          <w:lang w:bidi="ar"/>
        </w:rPr>
        <w:t>承担单位：</w:t>
      </w:r>
      <w:r>
        <w:rPr>
          <w:rFonts w:hint="eastAsia" w:ascii="仿宋" w:hAnsi="仿宋" w:eastAsia="仿宋"/>
          <w:snapToGrid w:val="0"/>
          <w:kern w:val="0"/>
          <w:sz w:val="28"/>
          <w:szCs w:val="28"/>
          <w:lang w:bidi="ar"/>
        </w:rPr>
        <w:t>厦门市未来显示技术研究院</w:t>
      </w:r>
      <w:r>
        <w:rPr>
          <w:rFonts w:hint="eastAsia" w:ascii="仿宋" w:hAnsi="仿宋" w:eastAsia="仿宋"/>
          <w:bCs/>
          <w:snapToGrid w:val="0"/>
          <w:kern w:val="0"/>
          <w:sz w:val="28"/>
          <w:szCs w:val="28"/>
          <w:lang w:bidi="ar"/>
        </w:rPr>
        <w:t>、深圳市壹倍科技有限公司</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5</w:t>
      </w:r>
      <w:r>
        <w:rPr>
          <w:rFonts w:hint="eastAsia" w:ascii="黑体" w:hAnsi="黑体" w:eastAsia="黑体" w:cs="黑体"/>
          <w:b w:val="0"/>
          <w:bCs w:val="0"/>
        </w:rPr>
        <w:t>.Micro</w:t>
      </w:r>
      <w:r>
        <w:rPr>
          <w:rFonts w:ascii="黑体" w:hAnsi="黑体" w:eastAsia="黑体" w:cs="黑体"/>
          <w:b w:val="0"/>
          <w:bCs w:val="0"/>
        </w:rPr>
        <w:t>-LED</w:t>
      </w:r>
      <w:r>
        <w:rPr>
          <w:rFonts w:hint="eastAsia" w:ascii="黑体" w:hAnsi="黑体" w:eastAsia="黑体" w:cs="黑体"/>
          <w:b w:val="0"/>
          <w:bCs w:val="0"/>
        </w:rPr>
        <w:t>显示材料创新与技术验证平台</w:t>
      </w:r>
    </w:p>
    <w:p>
      <w:pPr>
        <w:pStyle w:val="2"/>
        <w:pageBreakBefore w:val="0"/>
        <w:widowControl w:val="0"/>
        <w:kinsoku/>
        <w:wordWrap/>
        <w:overflowPunct/>
        <w:topLinePunct w:val="0"/>
        <w:bidi w:val="0"/>
        <w:snapToGrid/>
        <w:spacing w:after="0" w:line="560" w:lineRule="exact"/>
        <w:ind w:firstLine="560" w:firstLineChars="200"/>
        <w:textAlignment w:val="auto"/>
        <w:rPr>
          <w:rFonts w:ascii="仿宋" w:hAnsi="仿宋" w:eastAsia="仿宋"/>
          <w:b/>
          <w:bCs/>
          <w:snapToGrid w:val="0"/>
          <w:kern w:val="0"/>
          <w:sz w:val="28"/>
          <w:szCs w:val="28"/>
          <w:lang w:bidi="ar"/>
        </w:rPr>
      </w:pPr>
      <w:r>
        <w:rPr>
          <w:rFonts w:hint="eastAsia" w:ascii="仿宋" w:hAnsi="仿宋" w:eastAsia="仿宋"/>
          <w:bCs/>
          <w:snapToGrid w:val="0"/>
          <w:kern w:val="0"/>
          <w:sz w:val="28"/>
          <w:szCs w:val="28"/>
          <w:lang w:bidi="ar"/>
        </w:rPr>
        <w:t>立足于Micro-LED显示领域发展全局，针对Micro-LED显示产业的发展趋势，重点突破一批共性关键技术，布局前沿基础技术，实现Micro</w:t>
      </w:r>
      <w:r>
        <w:rPr>
          <w:rFonts w:ascii="仿宋" w:hAnsi="仿宋" w:eastAsia="仿宋"/>
          <w:bCs/>
          <w:snapToGrid w:val="0"/>
          <w:kern w:val="0"/>
          <w:sz w:val="28"/>
          <w:szCs w:val="28"/>
          <w:lang w:bidi="ar"/>
        </w:rPr>
        <w:t>-LED</w:t>
      </w:r>
      <w:r>
        <w:rPr>
          <w:rFonts w:hint="eastAsia" w:ascii="仿宋" w:hAnsi="仿宋" w:eastAsia="仿宋"/>
          <w:bCs/>
          <w:snapToGrid w:val="0"/>
          <w:kern w:val="0"/>
          <w:sz w:val="28"/>
          <w:szCs w:val="28"/>
          <w:lang w:bidi="ar"/>
        </w:rPr>
        <w:t>显示材料创新与技术验证，引领下一代显示技术发展。聚聚Micro</w:t>
      </w:r>
      <w:r>
        <w:rPr>
          <w:rFonts w:ascii="仿宋" w:hAnsi="仿宋" w:eastAsia="仿宋"/>
          <w:bCs/>
          <w:snapToGrid w:val="0"/>
          <w:kern w:val="0"/>
          <w:sz w:val="28"/>
          <w:szCs w:val="28"/>
          <w:lang w:bidi="ar"/>
        </w:rPr>
        <w:t>-</w:t>
      </w:r>
      <w:r>
        <w:rPr>
          <w:rFonts w:hint="eastAsia" w:ascii="仿宋" w:hAnsi="仿宋" w:eastAsia="仿宋"/>
          <w:bCs/>
          <w:snapToGrid w:val="0"/>
          <w:kern w:val="0"/>
          <w:sz w:val="28"/>
          <w:szCs w:val="28"/>
          <w:lang w:bidi="ar"/>
        </w:rPr>
        <w:t>LED显示技术，重点实现发光与显示材料体系、纳米LED显示器件研发，建设Micro</w:t>
      </w:r>
      <w:r>
        <w:rPr>
          <w:rFonts w:ascii="仿宋" w:hAnsi="仿宋" w:eastAsia="仿宋"/>
          <w:bCs/>
          <w:snapToGrid w:val="0"/>
          <w:kern w:val="0"/>
          <w:sz w:val="28"/>
          <w:szCs w:val="28"/>
          <w:lang w:bidi="ar"/>
        </w:rPr>
        <w:t>-</w:t>
      </w:r>
      <w:r>
        <w:rPr>
          <w:rFonts w:hint="eastAsia" w:ascii="仿宋" w:hAnsi="仿宋" w:eastAsia="仿宋"/>
          <w:bCs/>
          <w:snapToGrid w:val="0"/>
          <w:kern w:val="0"/>
          <w:sz w:val="28"/>
          <w:szCs w:val="28"/>
          <w:lang w:bidi="ar"/>
        </w:rPr>
        <w:t>LED显示材料创新与技术验证平台，实现材料与器件验证，工艺技术验证和设备及部件验证。</w:t>
      </w:r>
    </w:p>
    <w:p>
      <w:pPr>
        <w:pStyle w:val="2"/>
        <w:pageBreakBefore w:val="0"/>
        <w:widowControl w:val="0"/>
        <w:kinsoku/>
        <w:wordWrap/>
        <w:overflowPunct/>
        <w:topLinePunct w:val="0"/>
        <w:bidi w:val="0"/>
        <w:snapToGrid/>
        <w:spacing w:after="0" w:line="560" w:lineRule="exact"/>
        <w:ind w:firstLine="562" w:firstLineChars="200"/>
        <w:textAlignment w:val="auto"/>
        <w:rPr>
          <w:rFonts w:ascii="仿宋" w:hAnsi="仿宋" w:eastAsia="仿宋"/>
          <w:snapToGrid w:val="0"/>
          <w:kern w:val="0"/>
          <w:sz w:val="28"/>
          <w:szCs w:val="28"/>
          <w:lang w:bidi="ar"/>
        </w:rPr>
      </w:pPr>
      <w:r>
        <w:rPr>
          <w:rFonts w:hint="eastAsia" w:ascii="仿宋" w:hAnsi="仿宋" w:eastAsia="仿宋"/>
          <w:b/>
          <w:snapToGrid w:val="0"/>
          <w:kern w:val="0"/>
          <w:sz w:val="28"/>
          <w:szCs w:val="28"/>
          <w:lang w:bidi="ar"/>
        </w:rPr>
        <w:t>承担单位：</w:t>
      </w:r>
      <w:r>
        <w:rPr>
          <w:rFonts w:hint="eastAsia" w:ascii="仿宋" w:hAnsi="仿宋" w:eastAsia="仿宋"/>
          <w:snapToGrid w:val="0"/>
          <w:kern w:val="0"/>
          <w:sz w:val="28"/>
          <w:szCs w:val="28"/>
          <w:lang w:bidi="ar"/>
        </w:rPr>
        <w:t>福州大学</w:t>
      </w:r>
    </w:p>
    <w:p>
      <w:pPr>
        <w:pStyle w:val="5"/>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rPr>
      </w:pPr>
      <w:r>
        <w:rPr>
          <w:rFonts w:ascii="黑体" w:hAnsi="黑体" w:eastAsia="黑体" w:cs="黑体"/>
          <w:b w:val="0"/>
          <w:bCs w:val="0"/>
        </w:rPr>
        <w:t>6.新型显示</w:t>
      </w:r>
      <w:r>
        <w:rPr>
          <w:rFonts w:hint="eastAsia" w:ascii="黑体" w:hAnsi="黑体" w:eastAsia="黑体" w:cs="黑体"/>
          <w:b w:val="0"/>
          <w:bCs w:val="0"/>
        </w:rPr>
        <w:t>产业创新发展技术咨询平台</w:t>
      </w:r>
    </w:p>
    <w:p>
      <w:pPr>
        <w:pStyle w:val="2"/>
        <w:pageBreakBefore w:val="0"/>
        <w:widowControl w:val="0"/>
        <w:kinsoku/>
        <w:wordWrap/>
        <w:overflowPunct/>
        <w:topLinePunct w:val="0"/>
        <w:bidi w:val="0"/>
        <w:snapToGrid/>
        <w:spacing w:after="0" w:line="560" w:lineRule="exact"/>
        <w:ind w:firstLine="560" w:firstLineChars="200"/>
        <w:textAlignment w:val="auto"/>
        <w:rPr>
          <w:rFonts w:ascii="仿宋" w:hAnsi="仿宋" w:eastAsia="仿宋"/>
          <w:snapToGrid w:val="0"/>
          <w:kern w:val="0"/>
          <w:sz w:val="28"/>
          <w:szCs w:val="28"/>
          <w:lang w:bidi="ar"/>
        </w:rPr>
      </w:pPr>
      <w:r>
        <w:rPr>
          <w:rFonts w:ascii="仿宋" w:hAnsi="仿宋" w:eastAsia="仿宋"/>
          <w:snapToGrid w:val="0"/>
          <w:kern w:val="0"/>
          <w:sz w:val="28"/>
          <w:szCs w:val="28"/>
          <w:lang w:bidi="ar"/>
        </w:rPr>
        <w:t>为产业链、创新链上下游主体提供前沿的技术趋势分析、科技创新申报和市场需求调研等，帮助其进行技术创新、项目评估以及投融资相关咨询，为产业创新发展提供全方位的研究支持和咨询服务，</w:t>
      </w:r>
      <w:r>
        <w:rPr>
          <w:rFonts w:hint="eastAsia" w:ascii="仿宋" w:hAnsi="仿宋" w:eastAsia="仿宋"/>
          <w:snapToGrid w:val="0"/>
          <w:kern w:val="0"/>
          <w:sz w:val="28"/>
          <w:szCs w:val="28"/>
          <w:lang w:bidi="ar"/>
        </w:rPr>
        <w:t>包括但不限于：1）</w:t>
      </w:r>
      <w:r>
        <w:rPr>
          <w:rFonts w:ascii="仿宋" w:hAnsi="仿宋" w:eastAsia="仿宋"/>
          <w:snapToGrid w:val="0"/>
          <w:kern w:val="0"/>
          <w:sz w:val="28"/>
          <w:szCs w:val="28"/>
          <w:lang w:bidi="ar"/>
        </w:rPr>
        <w:t>技术咨询：为企业提供关于技术创新和发展的咨询服务，帮助他们了解最新的技术趋势和发展方向</w:t>
      </w:r>
      <w:r>
        <w:rPr>
          <w:rFonts w:hint="eastAsia" w:ascii="仿宋" w:hAnsi="仿宋" w:eastAsia="仿宋"/>
          <w:snapToGrid w:val="0"/>
          <w:kern w:val="0"/>
          <w:sz w:val="28"/>
          <w:szCs w:val="28"/>
          <w:lang w:bidi="ar"/>
        </w:rPr>
        <w:t>；2）</w:t>
      </w:r>
      <w:r>
        <w:rPr>
          <w:rFonts w:ascii="仿宋" w:hAnsi="仿宋" w:eastAsia="仿宋"/>
          <w:snapToGrid w:val="0"/>
          <w:kern w:val="0"/>
          <w:sz w:val="28"/>
          <w:szCs w:val="28"/>
          <w:lang w:bidi="ar"/>
        </w:rPr>
        <w:t>项目评估：评估企业的技术项目，包括项目的可行性、风险和潜在收益，为企业提供决策支持</w:t>
      </w:r>
      <w:r>
        <w:rPr>
          <w:rFonts w:hint="eastAsia" w:ascii="仿宋" w:hAnsi="仿宋" w:eastAsia="仿宋"/>
          <w:snapToGrid w:val="0"/>
          <w:kern w:val="0"/>
          <w:sz w:val="28"/>
          <w:szCs w:val="28"/>
          <w:lang w:bidi="ar"/>
        </w:rPr>
        <w:t>；3）</w:t>
      </w:r>
      <w:r>
        <w:rPr>
          <w:rFonts w:ascii="仿宋" w:hAnsi="仿宋" w:eastAsia="仿宋"/>
          <w:snapToGrid w:val="0"/>
          <w:kern w:val="0"/>
          <w:sz w:val="28"/>
          <w:szCs w:val="28"/>
          <w:lang w:bidi="ar"/>
        </w:rPr>
        <w:t>技术转移：帮助企业将新技术应用到实际生产中，提高生产效率和产品质量</w:t>
      </w:r>
      <w:r>
        <w:rPr>
          <w:rFonts w:hint="eastAsia" w:ascii="仿宋" w:hAnsi="仿宋" w:eastAsia="仿宋"/>
          <w:snapToGrid w:val="0"/>
          <w:kern w:val="0"/>
          <w:sz w:val="28"/>
          <w:szCs w:val="28"/>
          <w:lang w:bidi="ar"/>
        </w:rPr>
        <w:t>；4）</w:t>
      </w:r>
      <w:r>
        <w:rPr>
          <w:rFonts w:ascii="仿宋" w:hAnsi="仿宋" w:eastAsia="仿宋"/>
          <w:snapToGrid w:val="0"/>
          <w:kern w:val="0"/>
          <w:sz w:val="28"/>
          <w:szCs w:val="28"/>
          <w:lang w:bidi="ar"/>
        </w:rPr>
        <w:t>创新管理：提供创新管理咨询，帮助企业建立创新文化和创新机制，推动持续的创新发展</w:t>
      </w:r>
      <w:r>
        <w:rPr>
          <w:rFonts w:hint="eastAsia" w:ascii="仿宋" w:hAnsi="仿宋" w:eastAsia="仿宋"/>
          <w:snapToGrid w:val="0"/>
          <w:kern w:val="0"/>
          <w:sz w:val="28"/>
          <w:szCs w:val="28"/>
          <w:lang w:bidi="ar"/>
        </w:rPr>
        <w:t>；5）</w:t>
      </w:r>
      <w:r>
        <w:rPr>
          <w:rFonts w:ascii="仿宋" w:hAnsi="仿宋" w:eastAsia="仿宋"/>
          <w:snapToGrid w:val="0"/>
          <w:kern w:val="0"/>
          <w:sz w:val="28"/>
          <w:szCs w:val="28"/>
          <w:lang w:bidi="ar"/>
        </w:rPr>
        <w:t>进行市场调研和分析，帮助企业了解市场需求和竞争情况，为企业的技术创新提供指导。</w:t>
      </w:r>
    </w:p>
    <w:p>
      <w:pPr>
        <w:pStyle w:val="2"/>
        <w:pageBreakBefore w:val="0"/>
        <w:widowControl w:val="0"/>
        <w:kinsoku/>
        <w:wordWrap/>
        <w:overflowPunct/>
        <w:topLinePunct w:val="0"/>
        <w:bidi w:val="0"/>
        <w:snapToGrid/>
        <w:spacing w:after="0" w:line="560" w:lineRule="exact"/>
        <w:ind w:firstLine="562" w:firstLineChars="200"/>
        <w:textAlignment w:val="auto"/>
        <w:rPr>
          <w:rFonts w:ascii="仿宋" w:hAnsi="仿宋" w:eastAsia="仿宋"/>
          <w:snapToGrid w:val="0"/>
          <w:kern w:val="0"/>
          <w:sz w:val="28"/>
          <w:szCs w:val="28"/>
          <w:lang w:bidi="ar"/>
        </w:rPr>
      </w:pPr>
      <w:r>
        <w:rPr>
          <w:rFonts w:hint="eastAsia" w:ascii="仿宋" w:hAnsi="仿宋" w:eastAsia="仿宋"/>
          <w:b/>
          <w:snapToGrid w:val="0"/>
          <w:kern w:val="0"/>
          <w:sz w:val="28"/>
          <w:szCs w:val="28"/>
          <w:lang w:bidi="ar"/>
        </w:rPr>
        <w:t>承担单位：</w:t>
      </w:r>
      <w:r>
        <w:rPr>
          <w:rFonts w:ascii="仿宋" w:hAnsi="仿宋" w:eastAsia="仿宋"/>
          <w:snapToGrid w:val="0"/>
          <w:kern w:val="0"/>
          <w:sz w:val="28"/>
          <w:szCs w:val="28"/>
          <w:lang w:bidi="ar"/>
        </w:rPr>
        <w:t>福建省电子信息应用技术研究院有限公司</w:t>
      </w:r>
    </w:p>
    <w:p>
      <w:pPr>
        <w:pStyle w:val="3"/>
        <w:pageBreakBefore w:val="0"/>
        <w:widowControl w:val="0"/>
        <w:kinsoku/>
        <w:wordWrap/>
        <w:overflowPunct/>
        <w:topLinePunct w:val="0"/>
        <w:bidi w:val="0"/>
        <w:snapToGrid/>
        <w:spacing w:before="0" w:after="0" w:line="560" w:lineRule="exact"/>
        <w:ind w:left="641"/>
        <w:textAlignment w:val="auto"/>
        <w:rPr>
          <w:rFonts w:ascii="黑体" w:hAnsi="黑体" w:eastAsia="黑体" w:cs="黑体"/>
          <w:b w:val="0"/>
          <w:bCs w:val="0"/>
          <w:sz w:val="28"/>
          <w:szCs w:val="28"/>
        </w:rPr>
      </w:pPr>
      <w:r>
        <w:rPr>
          <w:rFonts w:hint="eastAsia" w:ascii="黑体" w:hAnsi="黑体" w:eastAsia="黑体" w:cs="黑体"/>
          <w:b w:val="0"/>
          <w:bCs w:val="0"/>
          <w:sz w:val="28"/>
          <w:szCs w:val="28"/>
        </w:rPr>
        <w:t>四、保障措施</w:t>
      </w:r>
    </w:p>
    <w:p>
      <w:pPr>
        <w:pStyle w:val="2"/>
        <w:pageBreakBefore w:val="0"/>
        <w:widowControl w:val="0"/>
        <w:kinsoku/>
        <w:wordWrap/>
        <w:overflowPunct/>
        <w:topLinePunct w:val="0"/>
        <w:bidi w:val="0"/>
        <w:snapToGrid/>
        <w:spacing w:after="0" w:line="560" w:lineRule="exact"/>
        <w:textAlignment w:val="auto"/>
        <w:rPr>
          <w:rFonts w:ascii="仿宋" w:hAnsi="仿宋" w:eastAsia="仿宋"/>
          <w:snapToGrid w:val="0"/>
          <w:kern w:val="0"/>
          <w:sz w:val="28"/>
          <w:szCs w:val="28"/>
          <w:lang w:bidi="ar"/>
        </w:rPr>
      </w:pPr>
      <w:r>
        <w:rPr>
          <w:rFonts w:hint="eastAsia" w:ascii="仿宋_GB2312" w:hAnsi="仿宋_GB2312" w:eastAsia="仿宋_GB2312" w:cs="仿宋_GB2312"/>
          <w:b/>
          <w:sz w:val="28"/>
          <w:szCs w:val="28"/>
        </w:rPr>
        <w:t xml:space="preserve">   </w:t>
      </w:r>
      <w:r>
        <w:rPr>
          <w:rFonts w:hint="eastAsia" w:ascii="仿宋" w:hAnsi="仿宋" w:eastAsia="仿宋"/>
          <w:b/>
          <w:snapToGrid w:val="0"/>
          <w:kern w:val="0"/>
          <w:sz w:val="28"/>
          <w:szCs w:val="28"/>
          <w:lang w:bidi="ar"/>
        </w:rPr>
        <w:t>（一）坚持创新驱动，高质量创建创新中心。</w:t>
      </w:r>
      <w:r>
        <w:rPr>
          <w:rFonts w:hint="eastAsia" w:ascii="仿宋" w:hAnsi="仿宋" w:eastAsia="仿宋"/>
          <w:snapToGrid w:val="0"/>
          <w:kern w:val="0"/>
          <w:sz w:val="28"/>
          <w:szCs w:val="28"/>
          <w:lang w:bidi="ar"/>
        </w:rPr>
        <w:t>积极响应</w:t>
      </w:r>
      <w:r>
        <w:rPr>
          <w:rFonts w:ascii="仿宋" w:hAnsi="仿宋" w:eastAsia="仿宋"/>
          <w:snapToGrid w:val="0"/>
          <w:kern w:val="0"/>
          <w:sz w:val="28"/>
          <w:szCs w:val="28"/>
          <w:lang w:bidi="ar"/>
        </w:rPr>
        <w:t>国家、省</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市</w:t>
      </w:r>
      <w:r>
        <w:rPr>
          <w:rFonts w:hint="eastAsia" w:ascii="仿宋" w:hAnsi="仿宋" w:eastAsia="仿宋"/>
          <w:snapToGrid w:val="0"/>
          <w:kern w:val="0"/>
          <w:sz w:val="28"/>
          <w:szCs w:val="28"/>
          <w:lang w:bidi="ar"/>
        </w:rPr>
        <w:t>相关</w:t>
      </w:r>
      <w:r>
        <w:rPr>
          <w:rFonts w:ascii="仿宋" w:hAnsi="仿宋" w:eastAsia="仿宋"/>
          <w:snapToGrid w:val="0"/>
          <w:kern w:val="0"/>
          <w:sz w:val="28"/>
          <w:szCs w:val="28"/>
          <w:lang w:bidi="ar"/>
        </w:rPr>
        <w:t>政策，</w:t>
      </w:r>
      <w:r>
        <w:rPr>
          <w:rFonts w:hint="eastAsia" w:ascii="仿宋" w:hAnsi="仿宋" w:eastAsia="仿宋"/>
          <w:snapToGrid w:val="0"/>
          <w:kern w:val="0"/>
          <w:sz w:val="28"/>
          <w:szCs w:val="28"/>
          <w:lang w:bidi="ar"/>
        </w:rPr>
        <w:t>坚持创新驱动发展战略，汇聚新型显示产学研用创新资源，建立创新资源统筹优化配置机制，建立科学高效的运营管理机制，</w:t>
      </w:r>
      <w:r>
        <w:rPr>
          <w:rFonts w:ascii="仿宋" w:hAnsi="仿宋" w:eastAsia="仿宋"/>
          <w:snapToGrid w:val="0"/>
          <w:kern w:val="0"/>
          <w:sz w:val="28"/>
          <w:szCs w:val="28"/>
          <w:lang w:bidi="ar"/>
        </w:rPr>
        <w:t>营造</w:t>
      </w:r>
      <w:r>
        <w:rPr>
          <w:rFonts w:hint="eastAsia" w:ascii="仿宋" w:hAnsi="仿宋" w:eastAsia="仿宋"/>
          <w:snapToGrid w:val="0"/>
          <w:kern w:val="0"/>
          <w:sz w:val="28"/>
          <w:szCs w:val="28"/>
          <w:lang w:bidi="ar"/>
        </w:rPr>
        <w:t>开放共享、合作共赢</w:t>
      </w:r>
      <w:r>
        <w:rPr>
          <w:rFonts w:ascii="仿宋" w:hAnsi="仿宋" w:eastAsia="仿宋"/>
          <w:snapToGrid w:val="0"/>
          <w:kern w:val="0"/>
          <w:sz w:val="28"/>
          <w:szCs w:val="28"/>
          <w:lang w:bidi="ar"/>
        </w:rPr>
        <w:t>的创新文化氛围，</w:t>
      </w:r>
      <w:r>
        <w:rPr>
          <w:rFonts w:hint="eastAsia" w:ascii="仿宋" w:hAnsi="仿宋" w:eastAsia="仿宋"/>
          <w:snapToGrid w:val="0"/>
          <w:kern w:val="0"/>
          <w:sz w:val="28"/>
          <w:szCs w:val="28"/>
          <w:lang w:bidi="ar"/>
        </w:rPr>
        <w:t>高质量推进创新中心建设。</w:t>
      </w:r>
    </w:p>
    <w:p>
      <w:pPr>
        <w:pStyle w:val="2"/>
        <w:pageBreakBefore w:val="0"/>
        <w:widowControl w:val="0"/>
        <w:kinsoku/>
        <w:wordWrap/>
        <w:overflowPunct/>
        <w:topLinePunct w:val="0"/>
        <w:bidi w:val="0"/>
        <w:snapToGrid/>
        <w:spacing w:after="0" w:line="560" w:lineRule="exact"/>
        <w:ind w:firstLine="562" w:firstLineChars="200"/>
        <w:textAlignment w:val="auto"/>
        <w:rPr>
          <w:rFonts w:ascii="仿宋" w:hAnsi="仿宋" w:eastAsia="仿宋"/>
          <w:snapToGrid w:val="0"/>
          <w:kern w:val="0"/>
          <w:sz w:val="28"/>
          <w:szCs w:val="28"/>
          <w:lang w:bidi="ar"/>
        </w:rPr>
      </w:pPr>
      <w:r>
        <w:rPr>
          <w:rFonts w:hint="eastAsia" w:ascii="仿宋" w:hAnsi="仿宋" w:eastAsia="仿宋"/>
          <w:b/>
          <w:snapToGrid w:val="0"/>
          <w:kern w:val="0"/>
          <w:sz w:val="28"/>
          <w:szCs w:val="28"/>
          <w:lang w:bidi="ar"/>
        </w:rPr>
        <w:t>（二）坚持质量导向，建立动态考评机制。</w:t>
      </w:r>
      <w:r>
        <w:rPr>
          <w:rFonts w:hint="eastAsia" w:ascii="仿宋" w:hAnsi="仿宋" w:eastAsia="仿宋"/>
          <w:snapToGrid w:val="0"/>
          <w:kern w:val="0"/>
          <w:sz w:val="28"/>
          <w:szCs w:val="28"/>
          <w:lang w:bidi="ar"/>
        </w:rPr>
        <w:t>围绕年度发展目标和重点任务，</w:t>
      </w:r>
      <w:r>
        <w:rPr>
          <w:rFonts w:ascii="仿宋" w:hAnsi="仿宋" w:eastAsia="仿宋"/>
          <w:snapToGrid w:val="0"/>
          <w:kern w:val="0"/>
          <w:sz w:val="28"/>
          <w:szCs w:val="28"/>
          <w:lang w:bidi="ar"/>
        </w:rPr>
        <w:t>建立评估机制，定期对创新中心的运营和效果进行评估，及时发现问题和改进措施</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建立科学的项目评估和管理体系，</w:t>
      </w:r>
      <w:r>
        <w:rPr>
          <w:rFonts w:hint="eastAsia" w:ascii="仿宋" w:hAnsi="仿宋" w:eastAsia="仿宋"/>
          <w:snapToGrid w:val="0"/>
          <w:kern w:val="0"/>
          <w:sz w:val="28"/>
          <w:szCs w:val="28"/>
          <w:lang w:bidi="ar"/>
        </w:rPr>
        <w:t>强化项目过程监督和结果评价相结合，确保达成各项目目标，</w:t>
      </w:r>
      <w:r>
        <w:rPr>
          <w:rFonts w:ascii="仿宋" w:hAnsi="仿宋" w:eastAsia="仿宋"/>
          <w:snapToGrid w:val="0"/>
          <w:kern w:val="0"/>
          <w:sz w:val="28"/>
          <w:szCs w:val="28"/>
          <w:lang w:bidi="ar"/>
        </w:rPr>
        <w:t>提高创新成果的质量和效益。</w:t>
      </w:r>
    </w:p>
    <w:p>
      <w:pPr>
        <w:pStyle w:val="2"/>
        <w:pageBreakBefore w:val="0"/>
        <w:widowControl w:val="0"/>
        <w:kinsoku/>
        <w:wordWrap/>
        <w:overflowPunct/>
        <w:topLinePunct w:val="0"/>
        <w:bidi w:val="0"/>
        <w:snapToGrid/>
        <w:spacing w:after="0" w:line="560" w:lineRule="exact"/>
        <w:ind w:firstLine="510"/>
        <w:textAlignment w:val="auto"/>
        <w:rPr>
          <w:rFonts w:ascii="仿宋" w:hAnsi="仿宋" w:eastAsia="仿宋"/>
          <w:snapToGrid w:val="0"/>
          <w:kern w:val="0"/>
          <w:sz w:val="28"/>
          <w:szCs w:val="28"/>
          <w:lang w:bidi="ar"/>
        </w:rPr>
      </w:pPr>
      <w:r>
        <w:rPr>
          <w:rFonts w:hint="eastAsia" w:ascii="仿宋" w:hAnsi="仿宋" w:eastAsia="仿宋"/>
          <w:b/>
          <w:snapToGrid w:val="0"/>
          <w:kern w:val="0"/>
          <w:sz w:val="28"/>
          <w:szCs w:val="28"/>
          <w:lang w:bidi="ar"/>
        </w:rPr>
        <w:t>（三）坚持开放共享，营造良好创新氛围。</w:t>
      </w:r>
      <w:r>
        <w:rPr>
          <w:rFonts w:ascii="仿宋" w:hAnsi="仿宋" w:eastAsia="仿宋"/>
          <w:snapToGrid w:val="0"/>
          <w:kern w:val="0"/>
          <w:sz w:val="28"/>
          <w:szCs w:val="28"/>
          <w:lang w:bidi="ar"/>
        </w:rPr>
        <w:t>建立交流合作机制</w:t>
      </w:r>
      <w:r>
        <w:rPr>
          <w:rFonts w:hint="eastAsia" w:ascii="仿宋" w:hAnsi="仿宋" w:eastAsia="仿宋"/>
          <w:snapToGrid w:val="0"/>
          <w:kern w:val="0"/>
          <w:sz w:val="28"/>
          <w:szCs w:val="28"/>
          <w:lang w:bidi="ar"/>
        </w:rPr>
        <w:t>，加强各单位间的互动交流，营造良好的创新氛围。加快</w:t>
      </w:r>
      <w:r>
        <w:rPr>
          <w:rFonts w:ascii="仿宋" w:hAnsi="仿宋" w:eastAsia="仿宋"/>
          <w:snapToGrid w:val="0"/>
          <w:kern w:val="0"/>
          <w:sz w:val="28"/>
          <w:szCs w:val="28"/>
          <w:lang w:bidi="ar"/>
        </w:rPr>
        <w:t>收集、整理和管理新型显示产学研用的创新资源信息，包括科研成果、专利技术、人才资源等，形成创新资源数据库</w:t>
      </w:r>
      <w:r>
        <w:rPr>
          <w:rFonts w:hint="eastAsia" w:ascii="仿宋" w:hAnsi="仿宋" w:eastAsia="仿宋"/>
          <w:snapToGrid w:val="0"/>
          <w:kern w:val="0"/>
          <w:sz w:val="28"/>
          <w:szCs w:val="28"/>
          <w:lang w:bidi="ar"/>
        </w:rPr>
        <w:t>，强化</w:t>
      </w:r>
      <w:r>
        <w:rPr>
          <w:rFonts w:ascii="仿宋" w:hAnsi="仿宋" w:eastAsia="仿宋"/>
          <w:snapToGrid w:val="0"/>
          <w:kern w:val="0"/>
          <w:sz w:val="28"/>
          <w:szCs w:val="28"/>
          <w:lang w:bidi="ar"/>
        </w:rPr>
        <w:t>信息共享</w:t>
      </w:r>
      <w:r>
        <w:rPr>
          <w:rFonts w:hint="eastAsia" w:ascii="仿宋" w:hAnsi="仿宋" w:eastAsia="仿宋"/>
          <w:snapToGrid w:val="0"/>
          <w:kern w:val="0"/>
          <w:sz w:val="28"/>
          <w:szCs w:val="28"/>
          <w:lang w:bidi="ar"/>
        </w:rPr>
        <w:t>。</w:t>
      </w:r>
    </w:p>
    <w:p>
      <w:pPr>
        <w:pStyle w:val="2"/>
        <w:pageBreakBefore w:val="0"/>
        <w:widowControl w:val="0"/>
        <w:kinsoku/>
        <w:wordWrap/>
        <w:overflowPunct/>
        <w:topLinePunct w:val="0"/>
        <w:bidi w:val="0"/>
        <w:snapToGrid/>
        <w:spacing w:after="0" w:line="560" w:lineRule="exact"/>
        <w:ind w:firstLine="510"/>
        <w:textAlignment w:val="auto"/>
        <w:rPr>
          <w:rFonts w:ascii="仿宋" w:hAnsi="仿宋" w:eastAsia="仿宋"/>
          <w:snapToGrid w:val="0"/>
          <w:kern w:val="0"/>
          <w:sz w:val="28"/>
          <w:szCs w:val="28"/>
          <w:lang w:bidi="ar"/>
        </w:rPr>
      </w:pPr>
      <w:r>
        <w:rPr>
          <w:rFonts w:hint="eastAsia" w:ascii="仿宋" w:hAnsi="仿宋" w:eastAsia="仿宋"/>
          <w:b/>
          <w:snapToGrid w:val="0"/>
          <w:kern w:val="0"/>
          <w:sz w:val="28"/>
          <w:szCs w:val="28"/>
          <w:lang w:bidi="ar"/>
        </w:rPr>
        <w:t>（四）坚持产业链“一盘棋”，加快打造协同创新链。</w:t>
      </w:r>
      <w:r>
        <w:rPr>
          <w:rFonts w:hint="eastAsia" w:ascii="仿宋" w:hAnsi="仿宋" w:eastAsia="仿宋"/>
          <w:snapToGrid w:val="0"/>
          <w:kern w:val="0"/>
          <w:sz w:val="28"/>
          <w:szCs w:val="28"/>
          <w:lang w:bidi="ar"/>
        </w:rPr>
        <w:t>坚持产业链“一盘棋”，建立</w:t>
      </w:r>
      <w:r>
        <w:rPr>
          <w:rFonts w:ascii="仿宋" w:hAnsi="仿宋" w:eastAsia="仿宋"/>
          <w:snapToGrid w:val="0"/>
          <w:kern w:val="0"/>
          <w:sz w:val="28"/>
          <w:szCs w:val="28"/>
          <w:lang w:bidi="ar"/>
        </w:rPr>
        <w:t>资源配置</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共享和协同创新机制</w:t>
      </w:r>
      <w:r>
        <w:rPr>
          <w:rFonts w:hint="eastAsia" w:ascii="仿宋" w:hAnsi="仿宋" w:eastAsia="仿宋"/>
          <w:snapToGrid w:val="0"/>
          <w:kern w:val="0"/>
          <w:sz w:val="28"/>
          <w:szCs w:val="28"/>
          <w:lang w:bidi="ar"/>
        </w:rPr>
        <w:t>，统筹推进显示设计与仿真共享、技术验证、性能测试等平台建设，加快</w:t>
      </w:r>
      <w:r>
        <w:rPr>
          <w:rFonts w:ascii="仿宋" w:hAnsi="仿宋" w:eastAsia="仿宋"/>
          <w:snapToGrid w:val="0"/>
          <w:kern w:val="0"/>
          <w:sz w:val="28"/>
          <w:szCs w:val="28"/>
          <w:lang w:bidi="ar"/>
        </w:rPr>
        <w:t>形成创新合力，共同推动新型显示技术的创新和产业发展。</w:t>
      </w:r>
      <w:r>
        <w:rPr>
          <w:rFonts w:hint="eastAsia" w:ascii="仿宋" w:hAnsi="仿宋" w:eastAsia="仿宋"/>
          <w:snapToGrid w:val="0"/>
          <w:kern w:val="0"/>
          <w:sz w:val="28"/>
          <w:szCs w:val="28"/>
          <w:lang w:bidi="ar"/>
        </w:rPr>
        <w:t>根据承担单位、课题内容</w:t>
      </w:r>
      <w:r>
        <w:rPr>
          <w:rFonts w:ascii="仿宋" w:hAnsi="仿宋" w:eastAsia="仿宋"/>
          <w:snapToGrid w:val="0"/>
          <w:kern w:val="0"/>
          <w:sz w:val="28"/>
          <w:szCs w:val="28"/>
          <w:lang w:bidi="ar"/>
        </w:rPr>
        <w:t>合理分配创新资源，</w:t>
      </w:r>
      <w:r>
        <w:rPr>
          <w:rFonts w:hint="eastAsia" w:ascii="仿宋" w:hAnsi="仿宋" w:eastAsia="仿宋"/>
          <w:snapToGrid w:val="0"/>
          <w:kern w:val="0"/>
          <w:sz w:val="28"/>
          <w:szCs w:val="28"/>
          <w:lang w:bidi="ar"/>
        </w:rPr>
        <w:t>加快打造高效协同的技术创新链条，打通技术成果产业化、商业化的有效路径，</w:t>
      </w:r>
      <w:r>
        <w:rPr>
          <w:rFonts w:ascii="仿宋" w:hAnsi="仿宋" w:eastAsia="仿宋"/>
          <w:snapToGrid w:val="0"/>
          <w:kern w:val="0"/>
          <w:sz w:val="28"/>
          <w:szCs w:val="28"/>
          <w:lang w:bidi="ar"/>
        </w:rPr>
        <w:t>促进产学研合作和创新能力</w:t>
      </w:r>
      <w:r>
        <w:rPr>
          <w:rFonts w:hint="eastAsia" w:ascii="仿宋" w:hAnsi="仿宋" w:eastAsia="仿宋"/>
          <w:snapToGrid w:val="0"/>
          <w:kern w:val="0"/>
          <w:sz w:val="28"/>
          <w:szCs w:val="28"/>
          <w:lang w:bidi="ar"/>
        </w:rPr>
        <w:t>持续</w:t>
      </w:r>
      <w:r>
        <w:rPr>
          <w:rFonts w:ascii="仿宋" w:hAnsi="仿宋" w:eastAsia="仿宋"/>
          <w:snapToGrid w:val="0"/>
          <w:kern w:val="0"/>
          <w:sz w:val="28"/>
          <w:szCs w:val="28"/>
          <w:lang w:bidi="ar"/>
        </w:rPr>
        <w:t>提升</w:t>
      </w:r>
      <w:r>
        <w:rPr>
          <w:rFonts w:hint="eastAsia" w:ascii="仿宋" w:hAnsi="仿宋" w:eastAsia="仿宋"/>
          <w:snapToGrid w:val="0"/>
          <w:kern w:val="0"/>
          <w:sz w:val="28"/>
          <w:szCs w:val="28"/>
          <w:lang w:bidi="ar"/>
        </w:rPr>
        <w:t>。</w:t>
      </w:r>
    </w:p>
    <w:p>
      <w:pPr>
        <w:pStyle w:val="2"/>
        <w:pageBreakBefore w:val="0"/>
        <w:widowControl w:val="0"/>
        <w:kinsoku/>
        <w:wordWrap/>
        <w:overflowPunct/>
        <w:topLinePunct w:val="0"/>
        <w:bidi w:val="0"/>
        <w:snapToGrid/>
        <w:spacing w:after="0" w:line="560" w:lineRule="exact"/>
        <w:ind w:firstLine="645"/>
        <w:textAlignment w:val="auto"/>
        <w:rPr>
          <w:rFonts w:ascii="仿宋" w:hAnsi="仿宋" w:eastAsia="仿宋"/>
          <w:snapToGrid w:val="0"/>
          <w:kern w:val="0"/>
          <w:sz w:val="28"/>
          <w:szCs w:val="28"/>
          <w:lang w:bidi="ar"/>
        </w:rPr>
      </w:pPr>
      <w:r>
        <w:rPr>
          <w:rFonts w:hint="eastAsia" w:ascii="仿宋" w:hAnsi="仿宋" w:eastAsia="仿宋"/>
          <w:b/>
          <w:snapToGrid w:val="0"/>
          <w:kern w:val="0"/>
          <w:sz w:val="28"/>
          <w:szCs w:val="28"/>
          <w:lang w:bidi="ar"/>
        </w:rPr>
        <w:t>（五）坚持人才引领驱动，打造创新中心高水平人才团队。</w:t>
      </w:r>
      <w:r>
        <w:rPr>
          <w:rFonts w:hint="eastAsia" w:ascii="仿宋" w:hAnsi="仿宋" w:eastAsia="仿宋"/>
          <w:snapToGrid w:val="0"/>
          <w:kern w:val="0"/>
          <w:sz w:val="28"/>
          <w:szCs w:val="28"/>
          <w:lang w:bidi="ar"/>
        </w:rPr>
        <w:t>围绕产业链、创新链的关键环节，建立和完善引才育才留才体系，根据各成员单位的优势和条件，重点引进具有国内外领先水平的创新科研团队、学科带头人、行业技术领先人才和技术开发人才，培育国际一流的科技领军人才和创新团队。</w:t>
      </w:r>
    </w:p>
    <w:p>
      <w:pPr>
        <w:pStyle w:val="2"/>
        <w:pageBreakBefore w:val="0"/>
        <w:widowControl w:val="0"/>
        <w:kinsoku/>
        <w:wordWrap/>
        <w:overflowPunct/>
        <w:topLinePunct w:val="0"/>
        <w:bidi w:val="0"/>
        <w:snapToGrid/>
        <w:spacing w:after="0" w:line="560" w:lineRule="exact"/>
        <w:ind w:firstLine="530"/>
        <w:textAlignment w:val="auto"/>
        <w:rPr>
          <w:rFonts w:ascii="仿宋" w:hAnsi="仿宋" w:eastAsia="仿宋"/>
          <w:snapToGrid w:val="0"/>
          <w:kern w:val="0"/>
          <w:sz w:val="28"/>
          <w:szCs w:val="28"/>
          <w:lang w:bidi="ar"/>
        </w:rPr>
      </w:pPr>
      <w:r>
        <w:rPr>
          <w:rFonts w:hint="eastAsia" w:ascii="仿宋" w:hAnsi="仿宋" w:eastAsia="仿宋"/>
          <w:b/>
          <w:snapToGrid w:val="0"/>
          <w:kern w:val="0"/>
          <w:sz w:val="28"/>
          <w:szCs w:val="28"/>
          <w:lang w:bidi="ar"/>
        </w:rPr>
        <w:t>（六）坚持“请进来”和“走出去”相结合，持续</w:t>
      </w:r>
      <w:r>
        <w:rPr>
          <w:rFonts w:ascii="仿宋" w:hAnsi="仿宋" w:eastAsia="仿宋"/>
          <w:b/>
          <w:snapToGrid w:val="0"/>
          <w:kern w:val="0"/>
          <w:sz w:val="28"/>
          <w:szCs w:val="28"/>
          <w:lang w:bidi="ar"/>
        </w:rPr>
        <w:t>提升创新中心影响力</w:t>
      </w:r>
      <w:r>
        <w:rPr>
          <w:rFonts w:hint="eastAsia" w:ascii="仿宋" w:hAnsi="仿宋" w:eastAsia="仿宋"/>
          <w:b/>
          <w:snapToGrid w:val="0"/>
          <w:kern w:val="0"/>
          <w:sz w:val="28"/>
          <w:szCs w:val="28"/>
          <w:lang w:bidi="ar"/>
        </w:rPr>
        <w:t>。</w:t>
      </w:r>
      <w:r>
        <w:rPr>
          <w:rFonts w:hint="eastAsia" w:ascii="仿宋" w:hAnsi="仿宋" w:eastAsia="仿宋"/>
          <w:snapToGrid w:val="0"/>
          <w:kern w:val="0"/>
          <w:sz w:val="28"/>
          <w:szCs w:val="28"/>
          <w:lang w:bidi="ar"/>
        </w:rPr>
        <w:t>积极拓宽视野，主动对接国内外产学研用优秀单位和个人，</w:t>
      </w:r>
      <w:r>
        <w:rPr>
          <w:rFonts w:ascii="仿宋" w:hAnsi="仿宋" w:eastAsia="仿宋"/>
          <w:snapToGrid w:val="0"/>
          <w:kern w:val="0"/>
          <w:sz w:val="28"/>
          <w:szCs w:val="28"/>
          <w:lang w:bidi="ar"/>
        </w:rPr>
        <w:t>参加</w:t>
      </w:r>
      <w:r>
        <w:rPr>
          <w:rFonts w:hint="eastAsia" w:ascii="仿宋" w:hAnsi="仿宋" w:eastAsia="仿宋"/>
          <w:snapToGrid w:val="0"/>
          <w:kern w:val="0"/>
          <w:sz w:val="28"/>
          <w:szCs w:val="28"/>
          <w:lang w:bidi="ar"/>
        </w:rPr>
        <w:t>各类高层级</w:t>
      </w:r>
      <w:r>
        <w:rPr>
          <w:rFonts w:ascii="仿宋" w:hAnsi="仿宋" w:eastAsia="仿宋"/>
          <w:snapToGrid w:val="0"/>
          <w:kern w:val="0"/>
          <w:sz w:val="28"/>
          <w:szCs w:val="28"/>
          <w:lang w:bidi="ar"/>
        </w:rPr>
        <w:t>创新展览、学术会议和合作交流活动</w:t>
      </w:r>
      <w:r>
        <w:rPr>
          <w:rFonts w:hint="eastAsia" w:ascii="仿宋" w:hAnsi="仿宋" w:eastAsia="仿宋"/>
          <w:snapToGrid w:val="0"/>
          <w:kern w:val="0"/>
          <w:sz w:val="28"/>
          <w:szCs w:val="28"/>
          <w:lang w:bidi="ar"/>
        </w:rPr>
        <w:t>。积极拓展产业合作空间，努力缩短</w:t>
      </w:r>
      <w:r>
        <w:rPr>
          <w:rFonts w:ascii="仿宋" w:hAnsi="仿宋" w:eastAsia="仿宋"/>
          <w:snapToGrid w:val="0"/>
          <w:kern w:val="0"/>
          <w:sz w:val="28"/>
          <w:szCs w:val="28"/>
          <w:lang w:bidi="ar"/>
        </w:rPr>
        <w:t>创新研究成果</w:t>
      </w:r>
      <w:r>
        <w:rPr>
          <w:rFonts w:hint="eastAsia" w:ascii="仿宋" w:hAnsi="仿宋" w:eastAsia="仿宋"/>
          <w:snapToGrid w:val="0"/>
          <w:kern w:val="0"/>
          <w:sz w:val="28"/>
          <w:szCs w:val="28"/>
          <w:lang w:bidi="ar"/>
        </w:rPr>
        <w:t>向</w:t>
      </w:r>
      <w:r>
        <w:rPr>
          <w:rFonts w:ascii="仿宋" w:hAnsi="仿宋" w:eastAsia="仿宋"/>
          <w:snapToGrid w:val="0"/>
          <w:kern w:val="0"/>
          <w:sz w:val="28"/>
          <w:szCs w:val="28"/>
          <w:lang w:bidi="ar"/>
        </w:rPr>
        <w:t>实际产品</w:t>
      </w:r>
      <w:r>
        <w:rPr>
          <w:rFonts w:hint="eastAsia" w:ascii="仿宋" w:hAnsi="仿宋" w:eastAsia="仿宋"/>
          <w:snapToGrid w:val="0"/>
          <w:kern w:val="0"/>
          <w:sz w:val="28"/>
          <w:szCs w:val="28"/>
          <w:lang w:bidi="ar"/>
        </w:rPr>
        <w:t>、</w:t>
      </w:r>
      <w:r>
        <w:rPr>
          <w:rFonts w:ascii="仿宋" w:hAnsi="仿宋" w:eastAsia="仿宋"/>
          <w:snapToGrid w:val="0"/>
          <w:kern w:val="0"/>
          <w:sz w:val="28"/>
          <w:szCs w:val="28"/>
          <w:lang w:bidi="ar"/>
        </w:rPr>
        <w:t>应用</w:t>
      </w:r>
      <w:r>
        <w:rPr>
          <w:rFonts w:hint="eastAsia" w:ascii="仿宋" w:hAnsi="仿宋" w:eastAsia="仿宋"/>
          <w:snapToGrid w:val="0"/>
          <w:kern w:val="0"/>
          <w:sz w:val="28"/>
          <w:szCs w:val="28"/>
          <w:lang w:bidi="ar"/>
        </w:rPr>
        <w:t>的</w:t>
      </w:r>
      <w:r>
        <w:rPr>
          <w:rFonts w:ascii="仿宋" w:hAnsi="仿宋" w:eastAsia="仿宋"/>
          <w:snapToGrid w:val="0"/>
          <w:kern w:val="0"/>
          <w:sz w:val="28"/>
          <w:szCs w:val="28"/>
          <w:lang w:bidi="ar"/>
        </w:rPr>
        <w:t>转化</w:t>
      </w:r>
      <w:r>
        <w:rPr>
          <w:rFonts w:hint="eastAsia" w:ascii="仿宋" w:hAnsi="仿宋" w:eastAsia="仿宋"/>
          <w:snapToGrid w:val="0"/>
          <w:kern w:val="0"/>
          <w:sz w:val="28"/>
          <w:szCs w:val="28"/>
          <w:lang w:bidi="ar"/>
        </w:rPr>
        <w:t>过程</w:t>
      </w:r>
      <w:r>
        <w:rPr>
          <w:rFonts w:ascii="仿宋" w:hAnsi="仿宋" w:eastAsia="仿宋"/>
          <w:snapToGrid w:val="0"/>
          <w:kern w:val="0"/>
          <w:sz w:val="28"/>
          <w:szCs w:val="28"/>
          <w:lang w:bidi="ar"/>
        </w:rPr>
        <w:t>，在市场上实现商业价值和社会效益，提升创新中心的影响力和可持续发展能力。</w:t>
      </w:r>
    </w:p>
    <w:sectPr>
      <w:headerReference r:id="rId3" w:type="default"/>
      <w:footerReference r:id="rId4" w:type="default"/>
      <w:footerReference r:id="rId5"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小标宋_GBK"/>
    <w:panose1 w:val="02000000000000000000"/>
    <w:charset w:val="86"/>
    <w:family w:val="script"/>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Noto Sans Symbols2">
    <w:panose1 w:val="020B0502040504020204"/>
    <w:charset w:val="00"/>
    <w:family w:val="auto"/>
    <w:pitch w:val="default"/>
    <w:sig w:usb0="80000003" w:usb1="0200E3E4" w:usb2="00040020" w:usb3="0580A048" w:csb0="00000001" w:csb1="00000000"/>
  </w:font>
  <w:font w:name="方正仿宋_GBK">
    <w:panose1 w:val="03000509000000000000"/>
    <w:charset w:val="86"/>
    <w:family w:val="auto"/>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5165729"/>
    </w:sdtPr>
    <w:sdtEndPr>
      <w:rPr>
        <w:rFonts w:asciiTheme="minorEastAsia" w:hAnsiTheme="minorEastAsia"/>
        <w:sz w:val="24"/>
        <w:szCs w:val="24"/>
      </w:rPr>
    </w:sdtEndPr>
    <w:sdtContent>
      <w:p>
        <w:pPr>
          <w:pStyle w:val="10"/>
          <w:ind w:right="360"/>
          <w:jc w:val="righ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6 -</w:t>
        </w:r>
        <w:r>
          <w:rPr>
            <w:rFonts w:asciiTheme="minorEastAsia" w:hAnsiTheme="minorEastAsia"/>
            <w:sz w:val="24"/>
            <w:szCs w:val="24"/>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1046301"/>
    </w:sdtPr>
    <w:sdtEndPr>
      <w:rPr>
        <w:rFonts w:asciiTheme="minorEastAsia" w:hAnsiTheme="minorEastAsia"/>
        <w:sz w:val="24"/>
        <w:szCs w:val="24"/>
      </w:rPr>
    </w:sdtEndPr>
    <w:sdtContent>
      <w:p>
        <w:pPr>
          <w:pStyle w:val="1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2</w:t>
        </w:r>
        <w:r>
          <w:rPr>
            <w:rFonts w:asciiTheme="minorEastAsia" w:hAnsiTheme="minorEastAsia"/>
            <w:sz w:val="24"/>
            <w:szCs w:val="24"/>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zN2MyYjRkODMzM2NkNjFkMmZlZDRiN2I3MzI2YjkifQ=="/>
  </w:docVars>
  <w:rsids>
    <w:rsidRoot w:val="008F548C"/>
    <w:rsid w:val="0000364F"/>
    <w:rsid w:val="00014AA7"/>
    <w:rsid w:val="00022778"/>
    <w:rsid w:val="000244EC"/>
    <w:rsid w:val="00034453"/>
    <w:rsid w:val="0003445B"/>
    <w:rsid w:val="0003598B"/>
    <w:rsid w:val="000375D2"/>
    <w:rsid w:val="00053454"/>
    <w:rsid w:val="00054AF3"/>
    <w:rsid w:val="00056058"/>
    <w:rsid w:val="00060146"/>
    <w:rsid w:val="00065111"/>
    <w:rsid w:val="000700C5"/>
    <w:rsid w:val="000725E7"/>
    <w:rsid w:val="000731B6"/>
    <w:rsid w:val="00073F0F"/>
    <w:rsid w:val="000749E3"/>
    <w:rsid w:val="00076472"/>
    <w:rsid w:val="000764E9"/>
    <w:rsid w:val="00090762"/>
    <w:rsid w:val="00090F09"/>
    <w:rsid w:val="00094B36"/>
    <w:rsid w:val="000C25ED"/>
    <w:rsid w:val="000C28FC"/>
    <w:rsid w:val="000D3F38"/>
    <w:rsid w:val="000E2A54"/>
    <w:rsid w:val="000E37E6"/>
    <w:rsid w:val="000F13C5"/>
    <w:rsid w:val="000F6149"/>
    <w:rsid w:val="001011B9"/>
    <w:rsid w:val="001142E4"/>
    <w:rsid w:val="00120F73"/>
    <w:rsid w:val="00133A44"/>
    <w:rsid w:val="00143853"/>
    <w:rsid w:val="0015207C"/>
    <w:rsid w:val="001525ED"/>
    <w:rsid w:val="00162B7E"/>
    <w:rsid w:val="00175C39"/>
    <w:rsid w:val="00177A41"/>
    <w:rsid w:val="001840F6"/>
    <w:rsid w:val="00184B33"/>
    <w:rsid w:val="00187104"/>
    <w:rsid w:val="00192F2A"/>
    <w:rsid w:val="00193CC6"/>
    <w:rsid w:val="00196762"/>
    <w:rsid w:val="00197422"/>
    <w:rsid w:val="00197F0D"/>
    <w:rsid w:val="001A2E48"/>
    <w:rsid w:val="001A35E4"/>
    <w:rsid w:val="001A6474"/>
    <w:rsid w:val="001A6F01"/>
    <w:rsid w:val="001B5A4C"/>
    <w:rsid w:val="001B77E1"/>
    <w:rsid w:val="001C11FF"/>
    <w:rsid w:val="001C268E"/>
    <w:rsid w:val="001D07FE"/>
    <w:rsid w:val="001D0EB6"/>
    <w:rsid w:val="001D437F"/>
    <w:rsid w:val="001D5660"/>
    <w:rsid w:val="001E3D01"/>
    <w:rsid w:val="001F28A0"/>
    <w:rsid w:val="001F663B"/>
    <w:rsid w:val="00202583"/>
    <w:rsid w:val="00205EB4"/>
    <w:rsid w:val="002072C9"/>
    <w:rsid w:val="002353B4"/>
    <w:rsid w:val="002403F9"/>
    <w:rsid w:val="0024392E"/>
    <w:rsid w:val="002560DF"/>
    <w:rsid w:val="00264DEB"/>
    <w:rsid w:val="00267B63"/>
    <w:rsid w:val="00271B2B"/>
    <w:rsid w:val="002758D1"/>
    <w:rsid w:val="00276ACC"/>
    <w:rsid w:val="00292991"/>
    <w:rsid w:val="002964B1"/>
    <w:rsid w:val="002A2B37"/>
    <w:rsid w:val="002A6375"/>
    <w:rsid w:val="002B228F"/>
    <w:rsid w:val="002B79F9"/>
    <w:rsid w:val="002C297D"/>
    <w:rsid w:val="002C2D75"/>
    <w:rsid w:val="002C447A"/>
    <w:rsid w:val="002E0D19"/>
    <w:rsid w:val="002F0FB3"/>
    <w:rsid w:val="00307E90"/>
    <w:rsid w:val="00310BC7"/>
    <w:rsid w:val="00312EC9"/>
    <w:rsid w:val="00320E0D"/>
    <w:rsid w:val="00327F5F"/>
    <w:rsid w:val="00332050"/>
    <w:rsid w:val="00357485"/>
    <w:rsid w:val="003708C1"/>
    <w:rsid w:val="00371338"/>
    <w:rsid w:val="00372F16"/>
    <w:rsid w:val="0039112B"/>
    <w:rsid w:val="003D21B4"/>
    <w:rsid w:val="003D75AE"/>
    <w:rsid w:val="003D7A12"/>
    <w:rsid w:val="003F6609"/>
    <w:rsid w:val="003F6D45"/>
    <w:rsid w:val="004016CF"/>
    <w:rsid w:val="00407257"/>
    <w:rsid w:val="004253CB"/>
    <w:rsid w:val="0042541D"/>
    <w:rsid w:val="00427B6C"/>
    <w:rsid w:val="00440CD6"/>
    <w:rsid w:val="004570D5"/>
    <w:rsid w:val="00457858"/>
    <w:rsid w:val="00465A2A"/>
    <w:rsid w:val="00467AFA"/>
    <w:rsid w:val="00474165"/>
    <w:rsid w:val="004763B3"/>
    <w:rsid w:val="0048447B"/>
    <w:rsid w:val="0048488B"/>
    <w:rsid w:val="00484DC9"/>
    <w:rsid w:val="00485F6D"/>
    <w:rsid w:val="0048763D"/>
    <w:rsid w:val="004A5951"/>
    <w:rsid w:val="004C55DB"/>
    <w:rsid w:val="004C67DE"/>
    <w:rsid w:val="004D1CE4"/>
    <w:rsid w:val="004F0126"/>
    <w:rsid w:val="004F2F11"/>
    <w:rsid w:val="004F444C"/>
    <w:rsid w:val="00505A2D"/>
    <w:rsid w:val="00507CB8"/>
    <w:rsid w:val="005103A9"/>
    <w:rsid w:val="005146A2"/>
    <w:rsid w:val="00517141"/>
    <w:rsid w:val="00517D62"/>
    <w:rsid w:val="005255D0"/>
    <w:rsid w:val="00535773"/>
    <w:rsid w:val="00554D49"/>
    <w:rsid w:val="00555E55"/>
    <w:rsid w:val="00571C5A"/>
    <w:rsid w:val="005760F1"/>
    <w:rsid w:val="0058318C"/>
    <w:rsid w:val="005A08E8"/>
    <w:rsid w:val="005B4CC2"/>
    <w:rsid w:val="005B5733"/>
    <w:rsid w:val="005C4AFB"/>
    <w:rsid w:val="005E3045"/>
    <w:rsid w:val="005F15BD"/>
    <w:rsid w:val="00606C2A"/>
    <w:rsid w:val="0062448E"/>
    <w:rsid w:val="00627F38"/>
    <w:rsid w:val="006367CC"/>
    <w:rsid w:val="006458B6"/>
    <w:rsid w:val="006516D4"/>
    <w:rsid w:val="0068226D"/>
    <w:rsid w:val="006A39E6"/>
    <w:rsid w:val="006A6D33"/>
    <w:rsid w:val="006A6EB6"/>
    <w:rsid w:val="006B272B"/>
    <w:rsid w:val="006E3AF8"/>
    <w:rsid w:val="006F276E"/>
    <w:rsid w:val="00717049"/>
    <w:rsid w:val="00731735"/>
    <w:rsid w:val="00731886"/>
    <w:rsid w:val="00731E42"/>
    <w:rsid w:val="007342E6"/>
    <w:rsid w:val="00734F62"/>
    <w:rsid w:val="007354D7"/>
    <w:rsid w:val="00736148"/>
    <w:rsid w:val="007367E7"/>
    <w:rsid w:val="0073771E"/>
    <w:rsid w:val="00744B4E"/>
    <w:rsid w:val="007460EA"/>
    <w:rsid w:val="00752D2A"/>
    <w:rsid w:val="0075337E"/>
    <w:rsid w:val="007549C8"/>
    <w:rsid w:val="007614A5"/>
    <w:rsid w:val="00761690"/>
    <w:rsid w:val="00764762"/>
    <w:rsid w:val="0077101B"/>
    <w:rsid w:val="007807D8"/>
    <w:rsid w:val="007A25CB"/>
    <w:rsid w:val="007B40C3"/>
    <w:rsid w:val="007B430C"/>
    <w:rsid w:val="007B66D6"/>
    <w:rsid w:val="007E19FB"/>
    <w:rsid w:val="007F0471"/>
    <w:rsid w:val="007F773A"/>
    <w:rsid w:val="008005A6"/>
    <w:rsid w:val="00811AF0"/>
    <w:rsid w:val="00817060"/>
    <w:rsid w:val="00820F86"/>
    <w:rsid w:val="0083013A"/>
    <w:rsid w:val="00833BDE"/>
    <w:rsid w:val="00840203"/>
    <w:rsid w:val="008535DA"/>
    <w:rsid w:val="00854B4C"/>
    <w:rsid w:val="00872B9A"/>
    <w:rsid w:val="008825F5"/>
    <w:rsid w:val="00887FD9"/>
    <w:rsid w:val="00890B2D"/>
    <w:rsid w:val="008A1771"/>
    <w:rsid w:val="008A7826"/>
    <w:rsid w:val="008B1831"/>
    <w:rsid w:val="008B3209"/>
    <w:rsid w:val="008C19B1"/>
    <w:rsid w:val="008C1B6E"/>
    <w:rsid w:val="008C23B2"/>
    <w:rsid w:val="008D1A26"/>
    <w:rsid w:val="008F548C"/>
    <w:rsid w:val="009046F3"/>
    <w:rsid w:val="00904BCC"/>
    <w:rsid w:val="00917F15"/>
    <w:rsid w:val="0092556C"/>
    <w:rsid w:val="00950EAE"/>
    <w:rsid w:val="009527D1"/>
    <w:rsid w:val="009568B8"/>
    <w:rsid w:val="009752FC"/>
    <w:rsid w:val="00983CC3"/>
    <w:rsid w:val="00983DF9"/>
    <w:rsid w:val="009844B5"/>
    <w:rsid w:val="00991EB9"/>
    <w:rsid w:val="00993A89"/>
    <w:rsid w:val="00996A91"/>
    <w:rsid w:val="009A066C"/>
    <w:rsid w:val="009A2BB0"/>
    <w:rsid w:val="009B0548"/>
    <w:rsid w:val="009B0C43"/>
    <w:rsid w:val="009C1898"/>
    <w:rsid w:val="009C7CEC"/>
    <w:rsid w:val="009D0001"/>
    <w:rsid w:val="009D1978"/>
    <w:rsid w:val="009D3D7D"/>
    <w:rsid w:val="009D545A"/>
    <w:rsid w:val="009D6956"/>
    <w:rsid w:val="009E21D9"/>
    <w:rsid w:val="009E26F0"/>
    <w:rsid w:val="009E7844"/>
    <w:rsid w:val="009F32D9"/>
    <w:rsid w:val="009F600E"/>
    <w:rsid w:val="00A00445"/>
    <w:rsid w:val="00A135B6"/>
    <w:rsid w:val="00A2034A"/>
    <w:rsid w:val="00A25E9F"/>
    <w:rsid w:val="00A26C90"/>
    <w:rsid w:val="00A31220"/>
    <w:rsid w:val="00A3130A"/>
    <w:rsid w:val="00A33A40"/>
    <w:rsid w:val="00A4036D"/>
    <w:rsid w:val="00A52689"/>
    <w:rsid w:val="00A57207"/>
    <w:rsid w:val="00A64C26"/>
    <w:rsid w:val="00A71E21"/>
    <w:rsid w:val="00A76B7E"/>
    <w:rsid w:val="00A8213C"/>
    <w:rsid w:val="00A86922"/>
    <w:rsid w:val="00A87DF0"/>
    <w:rsid w:val="00A96163"/>
    <w:rsid w:val="00AA1857"/>
    <w:rsid w:val="00AB2E52"/>
    <w:rsid w:val="00AB701B"/>
    <w:rsid w:val="00AC54E4"/>
    <w:rsid w:val="00AC7085"/>
    <w:rsid w:val="00AD18DA"/>
    <w:rsid w:val="00AD2CA3"/>
    <w:rsid w:val="00AE07EA"/>
    <w:rsid w:val="00AE6714"/>
    <w:rsid w:val="00AF0164"/>
    <w:rsid w:val="00AF0AE9"/>
    <w:rsid w:val="00AF3286"/>
    <w:rsid w:val="00B00EC7"/>
    <w:rsid w:val="00B01615"/>
    <w:rsid w:val="00B02BD2"/>
    <w:rsid w:val="00B049E9"/>
    <w:rsid w:val="00B06422"/>
    <w:rsid w:val="00B065C6"/>
    <w:rsid w:val="00B12633"/>
    <w:rsid w:val="00B46B2D"/>
    <w:rsid w:val="00B46B4F"/>
    <w:rsid w:val="00B47C5A"/>
    <w:rsid w:val="00B56F82"/>
    <w:rsid w:val="00B63AD9"/>
    <w:rsid w:val="00B65359"/>
    <w:rsid w:val="00B7085F"/>
    <w:rsid w:val="00B76F4A"/>
    <w:rsid w:val="00B92EC7"/>
    <w:rsid w:val="00B94C20"/>
    <w:rsid w:val="00B96249"/>
    <w:rsid w:val="00BA2125"/>
    <w:rsid w:val="00BA799D"/>
    <w:rsid w:val="00BB7451"/>
    <w:rsid w:val="00BC1A59"/>
    <w:rsid w:val="00BC30FC"/>
    <w:rsid w:val="00BC4640"/>
    <w:rsid w:val="00BC6C1E"/>
    <w:rsid w:val="00BD1FCD"/>
    <w:rsid w:val="00BD6011"/>
    <w:rsid w:val="00BD7D76"/>
    <w:rsid w:val="00BE5F41"/>
    <w:rsid w:val="00BF56F1"/>
    <w:rsid w:val="00C02B97"/>
    <w:rsid w:val="00C15B4F"/>
    <w:rsid w:val="00C15BE4"/>
    <w:rsid w:val="00C20704"/>
    <w:rsid w:val="00C20EC2"/>
    <w:rsid w:val="00C22661"/>
    <w:rsid w:val="00C27520"/>
    <w:rsid w:val="00C3117A"/>
    <w:rsid w:val="00C37140"/>
    <w:rsid w:val="00C4110D"/>
    <w:rsid w:val="00C73025"/>
    <w:rsid w:val="00C907B4"/>
    <w:rsid w:val="00C92687"/>
    <w:rsid w:val="00CA242D"/>
    <w:rsid w:val="00CB7CE7"/>
    <w:rsid w:val="00CC2582"/>
    <w:rsid w:val="00CC3214"/>
    <w:rsid w:val="00CE3146"/>
    <w:rsid w:val="00CE67F7"/>
    <w:rsid w:val="00CE69B0"/>
    <w:rsid w:val="00CF72F0"/>
    <w:rsid w:val="00D05866"/>
    <w:rsid w:val="00D078E4"/>
    <w:rsid w:val="00D27CEE"/>
    <w:rsid w:val="00D327B1"/>
    <w:rsid w:val="00D35046"/>
    <w:rsid w:val="00D35F9B"/>
    <w:rsid w:val="00D3619B"/>
    <w:rsid w:val="00D363CF"/>
    <w:rsid w:val="00D367B7"/>
    <w:rsid w:val="00D4309A"/>
    <w:rsid w:val="00D436DA"/>
    <w:rsid w:val="00D43F3B"/>
    <w:rsid w:val="00D65F46"/>
    <w:rsid w:val="00D716C2"/>
    <w:rsid w:val="00D7203C"/>
    <w:rsid w:val="00D73D65"/>
    <w:rsid w:val="00D75820"/>
    <w:rsid w:val="00D772BF"/>
    <w:rsid w:val="00D81111"/>
    <w:rsid w:val="00D84ACA"/>
    <w:rsid w:val="00D97313"/>
    <w:rsid w:val="00DA1361"/>
    <w:rsid w:val="00DA1426"/>
    <w:rsid w:val="00DA71E0"/>
    <w:rsid w:val="00DB1A24"/>
    <w:rsid w:val="00DB255B"/>
    <w:rsid w:val="00DB4E48"/>
    <w:rsid w:val="00DB5D56"/>
    <w:rsid w:val="00DB673B"/>
    <w:rsid w:val="00DE237D"/>
    <w:rsid w:val="00DF00F2"/>
    <w:rsid w:val="00DF0E67"/>
    <w:rsid w:val="00DF64FA"/>
    <w:rsid w:val="00E0241A"/>
    <w:rsid w:val="00E1285B"/>
    <w:rsid w:val="00E20B4A"/>
    <w:rsid w:val="00E22E9C"/>
    <w:rsid w:val="00E31627"/>
    <w:rsid w:val="00E330EE"/>
    <w:rsid w:val="00E3322C"/>
    <w:rsid w:val="00E33E1F"/>
    <w:rsid w:val="00E47FB2"/>
    <w:rsid w:val="00E50C40"/>
    <w:rsid w:val="00E57459"/>
    <w:rsid w:val="00E604CE"/>
    <w:rsid w:val="00E648EA"/>
    <w:rsid w:val="00E67F0C"/>
    <w:rsid w:val="00E73F7F"/>
    <w:rsid w:val="00E742BD"/>
    <w:rsid w:val="00E75AED"/>
    <w:rsid w:val="00E7678D"/>
    <w:rsid w:val="00E769F0"/>
    <w:rsid w:val="00E833D8"/>
    <w:rsid w:val="00E84CB8"/>
    <w:rsid w:val="00E922BC"/>
    <w:rsid w:val="00EA27FD"/>
    <w:rsid w:val="00EA6B5F"/>
    <w:rsid w:val="00EA6FB6"/>
    <w:rsid w:val="00EB125B"/>
    <w:rsid w:val="00EB3035"/>
    <w:rsid w:val="00EC16CA"/>
    <w:rsid w:val="00F070EC"/>
    <w:rsid w:val="00F122DD"/>
    <w:rsid w:val="00F24064"/>
    <w:rsid w:val="00F301A0"/>
    <w:rsid w:val="00F32725"/>
    <w:rsid w:val="00F35B69"/>
    <w:rsid w:val="00F422F8"/>
    <w:rsid w:val="00F43591"/>
    <w:rsid w:val="00F516F7"/>
    <w:rsid w:val="00F52F80"/>
    <w:rsid w:val="00F64513"/>
    <w:rsid w:val="00F64BB3"/>
    <w:rsid w:val="00F72D8C"/>
    <w:rsid w:val="00F8780F"/>
    <w:rsid w:val="00FA58C5"/>
    <w:rsid w:val="00FA5DD7"/>
    <w:rsid w:val="00FB27CB"/>
    <w:rsid w:val="00FC23AF"/>
    <w:rsid w:val="00FD099D"/>
    <w:rsid w:val="00FE3F50"/>
    <w:rsid w:val="011C5CE2"/>
    <w:rsid w:val="037C37CB"/>
    <w:rsid w:val="05C47482"/>
    <w:rsid w:val="0F304B14"/>
    <w:rsid w:val="11150417"/>
    <w:rsid w:val="11290C5D"/>
    <w:rsid w:val="13675A6C"/>
    <w:rsid w:val="19DC6131"/>
    <w:rsid w:val="1D8154F4"/>
    <w:rsid w:val="24884753"/>
    <w:rsid w:val="24EB4AFA"/>
    <w:rsid w:val="258E0C37"/>
    <w:rsid w:val="25AF60A4"/>
    <w:rsid w:val="27ED0D1D"/>
    <w:rsid w:val="2A3F2A7E"/>
    <w:rsid w:val="2B06037E"/>
    <w:rsid w:val="338D1D16"/>
    <w:rsid w:val="37677539"/>
    <w:rsid w:val="384A6C3F"/>
    <w:rsid w:val="3FBE701B"/>
    <w:rsid w:val="3FFF6797"/>
    <w:rsid w:val="43BC243C"/>
    <w:rsid w:val="44F7014F"/>
    <w:rsid w:val="4CDB5F88"/>
    <w:rsid w:val="4FED4628"/>
    <w:rsid w:val="53065A01"/>
    <w:rsid w:val="581A4428"/>
    <w:rsid w:val="59212C36"/>
    <w:rsid w:val="5D2F7534"/>
    <w:rsid w:val="5DB013DF"/>
    <w:rsid w:val="60397415"/>
    <w:rsid w:val="60BF09F1"/>
    <w:rsid w:val="6B0978E4"/>
    <w:rsid w:val="6EC95E08"/>
    <w:rsid w:val="6FFD0B13"/>
    <w:rsid w:val="72785EEB"/>
    <w:rsid w:val="7671726D"/>
    <w:rsid w:val="76AD41C2"/>
    <w:rsid w:val="76FD5EC4"/>
    <w:rsid w:val="7A5B2752"/>
    <w:rsid w:val="7BB52A7E"/>
    <w:rsid w:val="7CCA480E"/>
    <w:rsid w:val="7E7FAAFE"/>
    <w:rsid w:val="7FFBB2AA"/>
    <w:rsid w:val="91AB5597"/>
    <w:rsid w:val="B1BFCF99"/>
    <w:rsid w:val="D51FC0FF"/>
    <w:rsid w:val="FAFE1FBD"/>
    <w:rsid w:val="FCFF4893"/>
    <w:rsid w:val="FE6E5F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0"/>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0"/>
    <w:unhideWhenUsed/>
    <w:qFormat/>
    <w:uiPriority w:val="99"/>
    <w:pPr>
      <w:spacing w:after="120"/>
    </w:pPr>
    <w:rPr>
      <w:szCs w:val="24"/>
    </w:rPr>
  </w:style>
  <w:style w:type="paragraph" w:styleId="8">
    <w:name w:val="caption"/>
    <w:basedOn w:val="1"/>
    <w:next w:val="1"/>
    <w:qFormat/>
    <w:uiPriority w:val="0"/>
    <w:pPr>
      <w:suppressLineNumbers/>
      <w:suppressAutoHyphens/>
      <w:spacing w:before="120" w:after="120"/>
    </w:pPr>
    <w:rPr>
      <w:rFonts w:ascii="Calibri" w:hAnsi="Calibri"/>
      <w:i/>
      <w:iCs/>
      <w:sz w:val="24"/>
      <w:szCs w:val="24"/>
    </w:rPr>
  </w:style>
  <w:style w:type="paragraph" w:styleId="9">
    <w:name w:val="Balloon Text"/>
    <w:basedOn w:val="1"/>
    <w:link w:val="19"/>
    <w:semiHidden/>
    <w:unhideWhenUsed/>
    <w:qFormat/>
    <w:uiPriority w:val="99"/>
    <w:rPr>
      <w:sz w:val="18"/>
      <w:szCs w:val="18"/>
    </w:rPr>
  </w:style>
  <w:style w:type="paragraph" w:styleId="10">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qFormat/>
    <w:uiPriority w:val="99"/>
    <w:pPr>
      <w:spacing w:beforeAutospacing="1" w:afterAutospacing="1"/>
      <w:jc w:val="left"/>
    </w:pPr>
    <w:rPr>
      <w:kern w:val="0"/>
      <w:sz w:val="24"/>
    </w:rPr>
  </w:style>
  <w:style w:type="character" w:styleId="15">
    <w:name w:val="Emphasis"/>
    <w:basedOn w:val="14"/>
    <w:qFormat/>
    <w:uiPriority w:val="20"/>
    <w:rPr>
      <w:i/>
    </w:rPr>
  </w:style>
  <w:style w:type="character" w:styleId="16">
    <w:name w:val="Hyperlink"/>
    <w:basedOn w:val="14"/>
    <w:semiHidden/>
    <w:unhideWhenUsed/>
    <w:qFormat/>
    <w:uiPriority w:val="99"/>
    <w:rPr>
      <w:color w:val="0000FF"/>
      <w:u w:val="single"/>
    </w:rPr>
  </w:style>
  <w:style w:type="character" w:customStyle="1" w:styleId="17">
    <w:name w:val="页眉 Char"/>
    <w:basedOn w:val="14"/>
    <w:link w:val="11"/>
    <w:qFormat/>
    <w:uiPriority w:val="99"/>
    <w:rPr>
      <w:sz w:val="18"/>
      <w:szCs w:val="18"/>
    </w:rPr>
  </w:style>
  <w:style w:type="character" w:customStyle="1" w:styleId="18">
    <w:name w:val="页脚 Char"/>
    <w:basedOn w:val="14"/>
    <w:link w:val="10"/>
    <w:qFormat/>
    <w:uiPriority w:val="99"/>
    <w:rPr>
      <w:sz w:val="18"/>
      <w:szCs w:val="18"/>
    </w:rPr>
  </w:style>
  <w:style w:type="character" w:customStyle="1" w:styleId="19">
    <w:name w:val="批注框文本 Char"/>
    <w:basedOn w:val="14"/>
    <w:link w:val="9"/>
    <w:semiHidden/>
    <w:qFormat/>
    <w:uiPriority w:val="99"/>
    <w:rPr>
      <w:rFonts w:ascii="Times New Roman" w:hAnsi="Times New Roman" w:eastAsia="宋体" w:cs="Times New Roman"/>
      <w:sz w:val="18"/>
      <w:szCs w:val="18"/>
    </w:rPr>
  </w:style>
  <w:style w:type="character" w:customStyle="1" w:styleId="20">
    <w:name w:val="正文文本 Char"/>
    <w:basedOn w:val="14"/>
    <w:link w:val="2"/>
    <w:qFormat/>
    <w:uiPriority w:val="99"/>
    <w:rPr>
      <w:rFonts w:ascii="Times New Roman" w:hAnsi="Times New Roman" w:eastAsia="宋体" w:cs="Times New Roman"/>
      <w:szCs w:val="24"/>
    </w:rPr>
  </w:style>
  <w:style w:type="paragraph" w:styleId="21">
    <w:name w:val="List Paragraph"/>
    <w:basedOn w:val="1"/>
    <w:link w:val="22"/>
    <w:qFormat/>
    <w:uiPriority w:val="0"/>
    <w:pPr>
      <w:ind w:firstLine="420" w:firstLineChars="200"/>
    </w:pPr>
  </w:style>
  <w:style w:type="character" w:customStyle="1" w:styleId="22">
    <w:name w:val="列出段落 Char"/>
    <w:link w:val="21"/>
    <w:qFormat/>
    <w:uiPriority w:val="0"/>
    <w:rPr>
      <w:rFonts w:ascii="Times New Roman" w:hAnsi="Times New Roman" w:eastAsia="宋体" w:cs="Times New Roman"/>
      <w:kern w:val="2"/>
      <w:sz w:val="21"/>
      <w:szCs w:val="21"/>
    </w:rPr>
  </w:style>
  <w:style w:type="character" w:customStyle="1" w:styleId="23">
    <w:name w:val="标题 3 Char"/>
    <w:basedOn w:val="14"/>
    <w:link w:val="4"/>
    <w:qFormat/>
    <w:uiPriority w:val="9"/>
    <w:rPr>
      <w:rFonts w:ascii="Times New Roman" w:hAnsi="Times New Roman" w:eastAsia="宋体" w:cs="Times New Roman"/>
      <w:b/>
      <w:bCs/>
      <w:kern w:val="2"/>
      <w:sz w:val="32"/>
      <w:szCs w:val="32"/>
    </w:rPr>
  </w:style>
  <w:style w:type="character" w:customStyle="1" w:styleId="24">
    <w:name w:val="标题 4 Char"/>
    <w:basedOn w:val="14"/>
    <w:link w:val="5"/>
    <w:qFormat/>
    <w:uiPriority w:val="9"/>
    <w:rPr>
      <w:rFonts w:asciiTheme="majorHAnsi" w:hAnsiTheme="majorHAnsi" w:eastAsiaTheme="majorEastAsia" w:cstheme="majorBidi"/>
      <w:b/>
      <w:bCs/>
      <w:kern w:val="2"/>
      <w:sz w:val="28"/>
      <w:szCs w:val="28"/>
    </w:rPr>
  </w:style>
  <w:style w:type="character" w:customStyle="1" w:styleId="25">
    <w:name w:val="标题 2 Char"/>
    <w:basedOn w:val="14"/>
    <w:link w:val="3"/>
    <w:qFormat/>
    <w:uiPriority w:val="9"/>
    <w:rPr>
      <w:rFonts w:asciiTheme="majorHAnsi" w:hAnsiTheme="majorHAnsi" w:eastAsiaTheme="majorEastAsia" w:cstheme="majorBidi"/>
      <w:b/>
      <w:bCs/>
      <w:kern w:val="2"/>
      <w:sz w:val="32"/>
      <w:szCs w:val="32"/>
    </w:rPr>
  </w:style>
  <w:style w:type="character" w:customStyle="1" w:styleId="26">
    <w:name w:val="标题 5 Char"/>
    <w:basedOn w:val="14"/>
    <w:link w:val="6"/>
    <w:qFormat/>
    <w:uiPriority w:val="9"/>
    <w:rPr>
      <w:rFonts w:ascii="Times New Roman" w:hAnsi="Times New Roman" w:eastAsia="宋体" w:cs="Times New Roman"/>
      <w:b/>
      <w:bCs/>
      <w:kern w:val="2"/>
      <w:sz w:val="28"/>
      <w:szCs w:val="28"/>
    </w:rPr>
  </w:style>
  <w:style w:type="paragraph" w:customStyle="1" w:styleId="27">
    <w:name w:val="reader-word-layer reader-word-s1-12"/>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8">
    <w:name w:val="005正文 Char"/>
    <w:link w:val="29"/>
    <w:qFormat/>
    <w:uiPriority w:val="0"/>
    <w:rPr>
      <w:rFonts w:ascii="Arial" w:hAnsi="Arial" w:eastAsia="宋体" w:cs="宋体"/>
      <w:sz w:val="24"/>
    </w:rPr>
  </w:style>
  <w:style w:type="paragraph" w:customStyle="1" w:styleId="29">
    <w:name w:val="005正文"/>
    <w:basedOn w:val="1"/>
    <w:link w:val="28"/>
    <w:qFormat/>
    <w:uiPriority w:val="0"/>
    <w:pPr>
      <w:widowControl/>
      <w:spacing w:before="50" w:beforeLines="50" w:line="360" w:lineRule="auto"/>
      <w:ind w:firstLine="200" w:firstLineChars="200"/>
    </w:pPr>
    <w:rPr>
      <w:rFonts w:ascii="Arial" w:hAnsi="Arial" w:cs="宋体"/>
      <w:kern w:val="0"/>
      <w:sz w:val="24"/>
      <w:szCs w:val="20"/>
    </w:rPr>
  </w:style>
  <w:style w:type="character" w:customStyle="1" w:styleId="30">
    <w:name w:val="标题 6 Char"/>
    <w:basedOn w:val="14"/>
    <w:link w:val="7"/>
    <w:qFormat/>
    <w:uiPriority w:val="9"/>
    <w:rPr>
      <w:rFonts w:asciiTheme="majorHAnsi" w:hAnsiTheme="majorHAnsi" w:eastAsiaTheme="majorEastAsia" w:cstheme="majorBidi"/>
      <w:b/>
      <w:bCs/>
      <w:kern w:val="2"/>
      <w:sz w:val="24"/>
      <w:szCs w:val="24"/>
    </w:rPr>
  </w:style>
  <w:style w:type="paragraph" w:customStyle="1" w:styleId="31">
    <w:name w:val="Revision"/>
    <w:hidden/>
    <w:semiHidden/>
    <w:qFormat/>
    <w:uiPriority w:val="99"/>
    <w:rPr>
      <w:rFonts w:ascii="Times New Roman" w:hAnsi="Times New Roman" w:eastAsia="宋体" w:cs="Times New Roman"/>
      <w:kern w:val="2"/>
      <w:sz w:val="21"/>
      <w:szCs w:val="21"/>
      <w:lang w:val="en-US" w:eastAsia="zh-CN" w:bidi="ar-SA"/>
    </w:rPr>
  </w:style>
  <w:style w:type="paragraph" w:customStyle="1" w:styleId="32">
    <w:name w:val="Char Char Char Char Char Char"/>
    <w:basedOn w:val="1"/>
    <w:qFormat/>
    <w:uiPriority w:val="0"/>
    <w:rPr>
      <w:szCs w:val="24"/>
    </w:rPr>
  </w:style>
  <w:style w:type="character" w:customStyle="1" w:styleId="33">
    <w:name w:val="text_pngnw"/>
    <w:basedOn w:val="14"/>
    <w:qFormat/>
    <w:uiPriority w:val="0"/>
  </w:style>
  <w:style w:type="character" w:customStyle="1" w:styleId="34">
    <w:name w:val="supwrap_kk_co"/>
    <w:basedOn w:val="14"/>
    <w:qFormat/>
    <w:uiPriority w:val="0"/>
  </w:style>
  <w:style w:type="paragraph" w:customStyle="1" w:styleId="35">
    <w:name w:val="字号、主送"/>
    <w:basedOn w:val="1"/>
    <w:next w:val="36"/>
    <w:qFormat/>
    <w:uiPriority w:val="0"/>
    <w:rPr>
      <w:rFonts w:eastAsia="仿宋_GB2312"/>
      <w:sz w:val="32"/>
    </w:rPr>
  </w:style>
  <w:style w:type="paragraph" w:customStyle="1" w:styleId="36">
    <w:name w:val="公文正文"/>
    <w:basedOn w:val="1"/>
    <w:qFormat/>
    <w:uiPriority w:val="0"/>
    <w:rPr>
      <w:rFonts w:eastAsia="仿宋_GB2312"/>
      <w:sz w:val="32"/>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JINJIANG</Company>
  <Pages>15</Pages>
  <Words>1300</Words>
  <Characters>7412</Characters>
  <Lines>61</Lines>
  <Paragraphs>17</Paragraphs>
  <TotalTime>3653</TotalTime>
  <ScaleCrop>false</ScaleCrop>
  <LinksUpToDate>false</LinksUpToDate>
  <CharactersWithSpaces>8695</CharactersWithSpaces>
  <Application>WPS Office WWO_wpscloud_20220531170121-5ca797624d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2023-10-25T21:39:00Z</dcterms:created>
  <dc:creator>poling</dc:creator>
  <cp:lastModifiedBy>姚欣</cp:lastModifiedBy>
  <cp:lastPrinted>2024-01-04T02:06:00Z</cp:lastPrinted>
  <dcterms:modified xsi:type="dcterms:W3CDTF">2024-02-07T16:30:53Z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BA579BC6BD294C8482219EC9DF6A2B6C</vt:lpwstr>
  </property>
</Properties>
</file>