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left"/>
        <w:rPr>
          <w:rFonts w:hint="eastAsia" w:ascii="黑体" w:hAnsi="黑体" w:eastAsia="黑体" w:cs="黑体"/>
          <w:spacing w:val="-6"/>
          <w:kern w:val="21"/>
          <w:sz w:val="32"/>
          <w:szCs w:val="32"/>
          <w:lang w:val="en-US" w:eastAsia="zh-CN"/>
        </w:rPr>
      </w:pPr>
      <w:r>
        <w:rPr>
          <w:rFonts w:hint="eastAsia" w:ascii="黑体" w:hAnsi="黑体" w:eastAsia="黑体" w:cs="黑体"/>
          <w:spacing w:val="-6"/>
          <w:kern w:val="21"/>
          <w:sz w:val="32"/>
          <w:szCs w:val="32"/>
          <w:lang w:eastAsia="zh-CN"/>
        </w:rPr>
        <w:t>附件</w:t>
      </w:r>
      <w:r>
        <w:rPr>
          <w:rFonts w:hint="eastAsia" w:ascii="黑体" w:hAnsi="黑体" w:eastAsia="黑体" w:cs="黑体"/>
          <w:spacing w:val="-6"/>
          <w:kern w:val="21"/>
          <w:sz w:val="32"/>
          <w:szCs w:val="32"/>
          <w:lang w:val="en-US" w:eastAsia="zh-CN"/>
        </w:rPr>
        <w:t>1</w:t>
      </w:r>
    </w:p>
    <w:p>
      <w:pPr>
        <w:adjustRightInd w:val="0"/>
        <w:spacing w:line="600" w:lineRule="exact"/>
        <w:ind w:firstLine="856" w:firstLineChars="200"/>
        <w:jc w:val="center"/>
        <w:rPr>
          <w:rFonts w:ascii="Times New Roman" w:hAnsi="Times New Roman" w:eastAsia="方正小标宋简体"/>
          <w:sz w:val="44"/>
          <w:szCs w:val="44"/>
        </w:rPr>
      </w:pPr>
      <w:r>
        <w:rPr>
          <w:rFonts w:hint="eastAsia" w:ascii="Times New Roman" w:hAnsi="Times New Roman" w:eastAsia="方正小标宋简体"/>
          <w:spacing w:val="-6"/>
          <w:kern w:val="21"/>
          <w:sz w:val="44"/>
          <w:szCs w:val="44"/>
          <w:lang w:eastAsia="zh-CN"/>
        </w:rPr>
        <w:t>福建</w:t>
      </w:r>
      <w:r>
        <w:rPr>
          <w:rFonts w:ascii="Times New Roman" w:hAnsi="Times New Roman" w:eastAsia="方正小标宋简体"/>
          <w:spacing w:val="-6"/>
          <w:kern w:val="21"/>
          <w:sz w:val="44"/>
          <w:szCs w:val="44"/>
        </w:rPr>
        <w:t>省</w:t>
      </w:r>
      <w:r>
        <w:rPr>
          <w:rFonts w:hint="eastAsia" w:ascii="方正小标宋简体" w:hAnsi="方正小标宋简体" w:eastAsia="方正小标宋简体" w:cs="方正小标宋简体"/>
          <w:spacing w:val="-6"/>
          <w:kern w:val="21"/>
          <w:sz w:val="44"/>
          <w:szCs w:val="44"/>
        </w:rPr>
        <w:t>2025年</w:t>
      </w:r>
      <w:r>
        <w:rPr>
          <w:rFonts w:hint="eastAsia" w:ascii="Times New Roman" w:hAnsi="Times New Roman" w:eastAsia="方正小标宋简体"/>
          <w:spacing w:val="-6"/>
          <w:kern w:val="21"/>
          <w:sz w:val="44"/>
          <w:szCs w:val="44"/>
          <w:lang w:eastAsia="zh-CN"/>
        </w:rPr>
        <w:t>“</w:t>
      </w:r>
      <w:r>
        <w:rPr>
          <w:rFonts w:ascii="Times New Roman" w:hAnsi="Times New Roman" w:eastAsia="方正小标宋简体"/>
          <w:spacing w:val="-6"/>
          <w:kern w:val="21"/>
          <w:sz w:val="44"/>
          <w:szCs w:val="44"/>
        </w:rPr>
        <w:t>一起益企</w:t>
      </w:r>
      <w:r>
        <w:rPr>
          <w:rFonts w:hint="eastAsia" w:ascii="Times New Roman" w:hAnsi="Times New Roman" w:eastAsia="方正小标宋简体"/>
          <w:spacing w:val="-6"/>
          <w:kern w:val="21"/>
          <w:sz w:val="44"/>
          <w:szCs w:val="44"/>
          <w:lang w:eastAsia="zh-CN"/>
        </w:rPr>
        <w:t>”</w:t>
      </w:r>
      <w:r>
        <w:rPr>
          <w:rFonts w:ascii="Times New Roman" w:hAnsi="Times New Roman" w:eastAsia="方正小标宋简体"/>
          <w:spacing w:val="-6"/>
          <w:kern w:val="21"/>
          <w:sz w:val="44"/>
          <w:szCs w:val="44"/>
        </w:rPr>
        <w:t>中小企业服务行动清单</w:t>
      </w:r>
    </w:p>
    <w:tbl>
      <w:tblPr>
        <w:tblStyle w:val="7"/>
        <w:tblW w:w="15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3"/>
        <w:gridCol w:w="1521"/>
        <w:gridCol w:w="1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jc w:val="center"/>
        </w:trPr>
        <w:tc>
          <w:tcPr>
            <w:tcW w:w="1353" w:type="dxa"/>
            <w:vAlign w:val="center"/>
          </w:tcPr>
          <w:p>
            <w:pPr>
              <w:adjustRightInd w:val="0"/>
              <w:snapToGrid w:val="0"/>
              <w:spacing w:line="360" w:lineRule="exact"/>
              <w:jc w:val="center"/>
              <w:rPr>
                <w:rFonts w:ascii="Times New Roman" w:hAnsi="Times New Roman" w:eastAsia="黑体"/>
                <w:color w:val="auto"/>
                <w:sz w:val="28"/>
                <w:szCs w:val="28"/>
              </w:rPr>
            </w:pPr>
            <w:r>
              <w:rPr>
                <w:rFonts w:ascii="Times New Roman" w:hAnsi="Times New Roman" w:eastAsia="黑体"/>
                <w:color w:val="auto"/>
                <w:sz w:val="28"/>
                <w:szCs w:val="28"/>
              </w:rPr>
              <w:t>服务方向</w:t>
            </w:r>
          </w:p>
        </w:tc>
        <w:tc>
          <w:tcPr>
            <w:tcW w:w="1521" w:type="dxa"/>
            <w:vAlign w:val="center"/>
          </w:tcPr>
          <w:p>
            <w:pPr>
              <w:adjustRightInd w:val="0"/>
              <w:snapToGrid w:val="0"/>
              <w:spacing w:line="360" w:lineRule="exact"/>
              <w:jc w:val="center"/>
              <w:rPr>
                <w:rFonts w:ascii="Times New Roman" w:hAnsi="Times New Roman" w:eastAsia="黑体"/>
                <w:color w:val="auto"/>
                <w:sz w:val="28"/>
                <w:szCs w:val="28"/>
              </w:rPr>
            </w:pPr>
            <w:r>
              <w:rPr>
                <w:rFonts w:ascii="Times New Roman" w:hAnsi="Times New Roman" w:eastAsia="黑体"/>
                <w:color w:val="auto"/>
                <w:sz w:val="28"/>
                <w:szCs w:val="28"/>
              </w:rPr>
              <w:t>部门</w:t>
            </w:r>
          </w:p>
        </w:tc>
        <w:tc>
          <w:tcPr>
            <w:tcW w:w="12744" w:type="dxa"/>
            <w:vAlign w:val="center"/>
          </w:tcPr>
          <w:p>
            <w:pPr>
              <w:adjustRightInd w:val="0"/>
              <w:snapToGrid w:val="0"/>
              <w:spacing w:line="360" w:lineRule="exact"/>
              <w:jc w:val="center"/>
              <w:rPr>
                <w:rFonts w:ascii="Times New Roman" w:hAnsi="Times New Roman" w:eastAsia="黑体"/>
                <w:color w:val="auto"/>
                <w:sz w:val="28"/>
                <w:szCs w:val="28"/>
              </w:rPr>
            </w:pPr>
            <w:r>
              <w:rPr>
                <w:rFonts w:ascii="Times New Roman" w:hAnsi="Times New Roman" w:eastAsia="黑体"/>
                <w:color w:val="auto"/>
                <w:sz w:val="28"/>
                <w:szCs w:val="28"/>
              </w:rPr>
              <w:t>服务举措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26" w:hRule="atLeast"/>
          <w:jc w:val="center"/>
        </w:trPr>
        <w:tc>
          <w:tcPr>
            <w:tcW w:w="1353" w:type="dxa"/>
            <w:vMerge w:val="restart"/>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政策惠企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省工信厅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优化全省中小企业公共服务“一张网”，推进数据归集共享，提升服务质效，丰富政策帮享、需求帮解、产业对接等功能，努力实现服务精准适配。推动各地汇集涉企惠企政策，梳理要点清单，多形式、多渠道开展政策宣贯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30" w:hRule="atLeast"/>
          <w:jc w:val="center"/>
        </w:trPr>
        <w:tc>
          <w:tcPr>
            <w:tcW w:w="1353" w:type="dxa"/>
            <w:vMerge w:val="continue"/>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省发改委</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会同省工信厅牵头建立省支持中小微企业健康发展工作协调机制，抓好《关于支持中小微企业健康发展的若干措施》的督促落实，指导各地滚动梳理重点关注企业清单、企业需求清单和协调任务清单等“三张清单”，协调解决中小微企业发展中的困难问题。</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2.加强《关于支持中小微企业健康发展的若干措施》的政策解读，推行政策指南式管理，增强企业政策获得感。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90" w:hRule="atLeast"/>
          <w:jc w:val="center"/>
        </w:trPr>
        <w:tc>
          <w:tcPr>
            <w:tcW w:w="1353" w:type="dxa"/>
            <w:vMerge w:val="continue"/>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省财政厅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1.依托“金服云”平台打造“一站式”惠企政策申享平台，构建“金服云”线上惠企政策“一站式”服务应用场景，助力实现更多惠企政策“一键直达”“免申即享”“快申快享”。</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2.2025年设立两期福建省专精特新中小企业专项资金贷款，每期100亿元规模，由省级财政给予1%贴息补助，帮助降低专精特新中小企业融资成本。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省人社厅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加大稳岗扩岗支持力度。对招用16-24岁登记失业人员,签订1年以上劳动合同且缴纳失业、工伤、职工养老保险满3个月以上的中小微企业，给予每人1500元的一次性企业扩岗补助:鼓励支持个体工商户、初创3年内的小微企业吸纳就业，对符合签订1年以上劳动合同，为员工缴纳社会保险满6个月等规定条件的，按企业招用人数给予每人不超过1000元、总额不超过3万元的创业带动就业补贴。</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强化职称评审服务。一是支持专精特新中小企业柔性引进人才申报职称评审。凡与专精特新中小企业签订1年以上工作协议且每年累计在我省工作不少于2个月的柔性引进高层次人才，可不受国籍、户籍、社保等条件限制申报职称评审。柔性引进人才在人事关系所在单位取得的职称和职业资格与我省同类人员同等对待。二是探索实行专精特新中小企业高层次人才职称申报举荐制。专精特新中小企业内具有突出技术创新能力、取得原创性科技成果以及作出重大贡献的优秀工程技术人才（除涉及公共安全、人身健康的专业外），经2名以上具备正高级职称的同行专家署名举荐，不受学历、继续教育条件限制，可直接申报工程技术系列高级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省商务厅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推广应用对外投资电子证照，进一步优化境外投资备案流程和服务，加强我省“丝路投资”支持政策宣传，提升海外投资安全风险预警服务。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4"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省退役军人事务厅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1.针对退役军人个体工商户实际，联合相关部门，出台相关规定举措，扶持退役军人个体工商户成长发展。</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2.对照国家金融监督管理总局 退役军人事务部《关于开展退役军人创业贷进一步支持退役军人创业创新的通知》，结合本省实际，拟制落实举措，为退役军人经营主体发展提供金融支持。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4"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福州海关</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通过“海关关长送政策上门”、两级关领导挂钩服务、企业协调员、“问题清零”、新时代“枫桥经验”等机制，快速解决中小企业“急难愁盼”问题。</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落实海关总署与中国农业银行签订的合作备忘录，加强与当地农业银行等金融机构的联系配合，帮助AEO企业应享尽享便利优惠措施。</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持续拓展“沿海内支线运费扣减新模式”享惠面，推动“担保超市”项目上线“金服云”平台，指导、支持银行推出“普惠贷+保函”等金融创新产品，助力解决小微企业融资难融资贵问题。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厦门海关</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建立关区“新三样”企业出口重点企业库，了解企业技贸影响情况，点对点帮扶指导企业。每月收集发布主要出口市场“新三样”技贸措施预警信息，每季度征集“新三样”特别贸易关注议题，对外方不合理的技术壁垒及时提出评议意见。</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2.加强与厦门大学、厦钨新能源等院校、企业合作，共建联合实验室，加强检测方法研究，共同制定技术标准。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5"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省税务局</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落实“助力小微经营主体发展‘春雨润苗’专项行动”服务措施，响应小微经营主体诉求。一是深化宣传辅导，组织开展面向中小企业的税费政策宣传辅导，组织各地税务机关讲解政策内容和办理流程，助力企业了解掌握适用税费优惠政策。二是响应税费服务诉求，主动征集中小企业涉税涉费意见建议，开展座谈，及时答疑解惑、响应诉求、促进征纳关系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30" w:hRule="atLeast"/>
          <w:jc w:val="center"/>
        </w:trPr>
        <w:tc>
          <w:tcPr>
            <w:tcW w:w="1353" w:type="dxa"/>
            <w:vMerge w:val="restart"/>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政策惠企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省市场监管局</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bookmarkStart w:id="0" w:name="OLE_LINK1"/>
            <w:r>
              <w:rPr>
                <w:rFonts w:hint="eastAsia" w:ascii="仿宋_GB2312" w:hAnsi="仿宋_GB2312" w:eastAsia="仿宋_GB2312" w:cs="仿宋_GB2312"/>
                <w:color w:val="auto"/>
                <w:sz w:val="28"/>
                <w:szCs w:val="28"/>
                <w:lang w:val="en-US" w:eastAsia="zh-CN"/>
              </w:rPr>
              <w:t>1.</w:t>
            </w:r>
            <w:bookmarkEnd w:id="0"/>
            <w:r>
              <w:rPr>
                <w:rFonts w:hint="eastAsia" w:ascii="仿宋_GB2312" w:hAnsi="仿宋_GB2312" w:eastAsia="仿宋_GB2312" w:cs="仿宋_GB2312"/>
                <w:color w:val="auto"/>
                <w:sz w:val="28"/>
                <w:szCs w:val="28"/>
                <w:lang w:val="en-US" w:eastAsia="zh-CN"/>
              </w:rPr>
              <w:t>持续推进个体工商户转型为企业等市场监管部门牵头的“高效办成一件事”改革，加快开展本省特色的开办超市/便利店“一件事”改革，推动政务服务提质增效。</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2.在全省范围内开展“信用修复服务年”“经营主体年报服务月”活动，推进年报工作，优化信用服务，进一步提升全省经营主体信用水平和发展质量。</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3.开展信用赋能产业和民营经济发展系列帮扶活动，支持诚信守法经营主体引领示范，帮助失信经营主体恢复信用，以信用保安全，以信用促发展。</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4.发挥福建“市事通”综合赋能平台作用，积极向企业宣传推介平台功能，组织专业技术人员帮助企业解决市场监管领域的发展需求，助力企业高质量发展。</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开展涉企违规收费专项行动，聚焦政府部门、交通物流、公用企业、行业协会商会等关键领域和环节收费开展专项检查，重点查处擅自设立收费项目、超标准收费、转嫁费用等违法违规收费行为，切实降低企业制度性交易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4"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省工商联</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1.深入商会、企业走访调研，组织企业、商会参与涉民营经济政策制定等，进一步畅通政企沟通渠道，使相关部门出台的政策切实惠企。</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2.贯彻服务企业“四通四到”机制，发挥服务民营企业工作专班和“同心·闽商服务团”作用，帮助民营企业反映有关困难和问题，提升民企政策获得感。</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3.加强“网上工商联”及全省工商联系统“一微一网一报”新媒体矩阵建设，扩大政策宣传覆盖面。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73" w:hRule="atLeast"/>
          <w:jc w:val="center"/>
        </w:trPr>
        <w:tc>
          <w:tcPr>
            <w:tcW w:w="1353" w:type="dxa"/>
            <w:vMerge w:val="restart"/>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highlight w:val="yellow"/>
              </w:rPr>
            </w:pPr>
            <w:r>
              <w:rPr>
                <w:rFonts w:hint="eastAsia" w:ascii="仿宋_GB2312" w:hAnsi="仿宋_GB2312" w:eastAsia="仿宋_GB2312" w:cs="仿宋_GB2312"/>
                <w:color w:val="auto"/>
                <w:sz w:val="28"/>
                <w:szCs w:val="28"/>
              </w:rPr>
              <w:t>环境活企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省工信厅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
              </w:rPr>
              <w:t>1.</w:t>
            </w:r>
            <w:r>
              <w:rPr>
                <w:rFonts w:hint="eastAsia" w:ascii="仿宋_GB2312" w:hAnsi="仿宋_GB2312" w:eastAsia="仿宋_GB2312" w:cs="仿宋_GB2312"/>
                <w:color w:val="auto"/>
                <w:sz w:val="28"/>
                <w:szCs w:val="28"/>
                <w:lang w:val="en-US" w:eastAsia="zh-CN"/>
              </w:rPr>
              <w:t>推动《中华人民共和国中小企业促进法》和《福建省促进中小企业发展条例》深入施行，切实优化企业发展环境。根据工信部工作部署，开展全省中小企业生产经营问卷调查，及时掌握中小企业运行态势，强化分析研判，夯实政策制订与实施基础。</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2.依托全省中小企业公共服务平台广泛汇聚各类资源，为中小企业提供找政策、找资金、找机构、找服务、找活动、找专家（人才）服务，解决信息不对称问题。</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3.征集企业融资需求清单，举办各种形式的产融对接活动，深入开展特色服务，促进产融双方精准高效对接。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8"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highlight w:val="yellow"/>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省发改委</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1.在省市县三级全面铺开市场准入效能评估，全年破除隐性壁垒100条以上。</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2.健全省市县支持小微企业融资协调工作机制，深入开展重点领域小微企业走访活动，持续破解小微企业融资难慢贵问题。</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3.深化“高效办成一件事”“数据最多采一次”改革，提升企业办事便利度。</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4.持续加大中小民营企业的宣传报道力度，推出一批优秀民营企业案例和支持民营企业发展的典型经验做法。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省农业农村厅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培育一批农业产业化省级重点龙头企业，组织龙头企业参加茶博会等国内外展示展销、交流对接活动，助力龙头企业拓展销售渠道，促进龙头企业做大做强。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省商务厅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建立“闽企出海”公共服务线上平台，推动组建“闽企出海”公共服务联盟，整合各方面资源力量，全面强化对企业出海的咨询辅导服务，帮助企业提高安全合规出海能力。进一步发挥境外福建商会、行业协会等的作用，加强对企业出海的引导帮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32"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省文旅厅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1.实施专项入境旅游奖补，加大入境旅游增量奖励扶持，激励各类主体共同做热入境旅游市场： </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（1）对全年组织接待境外入闽过夜团队游客不少于3000人次、配有外语导游、接待境外入闽过夜团队游客位列全省前十名且增长率位列前五名的旅行社，每家给予40万元至60万元的奖励。 </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对吸引境外机构来闽举办文艺演出、研学活动、企业培训等活动的企业，全年以上活动累计接待过夜的台港澳客人不少于2000人次或外国客人不少于1000人次的，给予排名前十的每家企业一次性20万元至40万元奖补。 </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鼓励旅行社赴境外参加列入省文旅厅名录的重要国际性旅游展会，对在购买展位、统一布展、宣传营销等方面全年支出不少于40万元且年接待来自旅展所在国家（地区）来闽过夜游客年增长率不少于15%的，经核准后按支出的一定比例给予奖补，每家补助资金最高不超过60万元。 </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2.扩大文化演出市场供给，增加演出场次，对在我省从事营业性演出活动的，根据以下规定予以奖补:</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近三年首次在闽举办的国际知名或国内一流大型演唱会、音乐节的主办单位需满足以下三个条件:单场售票规模超出1.5万人;售票收入不低于1500万元;演出单场销售外地观众门票不低于40%，经统一申报审定后单场给予奖补30万元。每家演出经纪机构全年奖补总额不超过150万元。</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全国首演在闽的国际知名或国内一流大型演唱会、音乐节的主办单位需满足以下三个条件:单场售票规模超出1.5万人;售票收入不低于1500万元;演出单场销售外地观众门票不低于50%，经统一申报审核后单场奖补50万元;每家演出经纪机构全年奖补总额不超过200万元。</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对主办单位本年度在福建省省内城市商圈、商业综合体、历史文化街区、文创园区、闲置厂房和各类酒店、旅游景区、文博场馆等场所首次打造演艺新空间活动，且从首场演出算起一年内开展演出不少于30场次,且实现年票房收入150万元以上的，经统一申报审核后给予不超过15万元的奖补。鼓励市、县（区）对所在区域的营业性演出活动出台相关政策，实施政策叠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省退役军人事务厅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1.结合“我与老兵面对面”常态化宣讲平台，联合相关经济部门，上门为企业提供政策解读、政企对话等“面对面”服务。</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2.坚持开办省级退役军人创业培训示范班，召集部分军创企业家进行集中培训，提升退役军人创业能力。</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3.依托官微官网持续推出“创业先锋”系列报道，常态挖掘退役军人创业典型。</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4.组织退役军人经营主体入驻“</w:t>
            </w:r>
            <w:r>
              <w:rPr>
                <w:rFonts w:hint="default" w:ascii="仿宋_GB2312" w:hAnsi="仿宋_GB2312" w:eastAsia="仿宋_GB2312" w:cs="仿宋_GB2312"/>
                <w:color w:val="auto"/>
                <w:sz w:val="28"/>
                <w:szCs w:val="28"/>
                <w:lang w:val="en-US" w:eastAsia="zh-CN"/>
              </w:rPr>
              <w:t>518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海交会</w:t>
            </w:r>
            <w:r>
              <w:rPr>
                <w:rFonts w:hint="eastAsia" w:ascii="仿宋_GB2312" w:hAnsi="仿宋_GB2312" w:eastAsia="仿宋_GB2312" w:cs="仿宋_GB2312"/>
                <w:color w:val="auto"/>
                <w:sz w:val="28"/>
                <w:szCs w:val="28"/>
                <w:lang w:val="en-US" w:eastAsia="zh-CN"/>
              </w:rPr>
              <w:t>等大型展会，通过设立“军创专区”、组织专场推介等，搭建产销对接桥梁，吸引社会关注。</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5.在“供销集市”等覆盖广、流量大的销售平台，设立军创专柜，大力拓宽军创产品销路。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08" w:hRule="atLeast"/>
          <w:jc w:val="center"/>
        </w:trPr>
        <w:tc>
          <w:tcPr>
            <w:tcW w:w="1353" w:type="dxa"/>
            <w:vMerge w:val="restart"/>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环境活企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国家金融</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监督管理总局福建监管局</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健全支持小微企业融资协调工作机制，深入开展重点领域小微企业走访活动，摸排形成“走访清单”、“申报清单”“推荐清单”，引导更多小微企业、金融机构运用“金服云”平台实现融资精准高效对接，进一步拓展首贷户、信用贷。</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2.开展监管评价和监测通报，督促银行机构落实无还本续贷政策，持续推动无还本续贷增户扩面。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95"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福建证监局</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1.支持辖区中小企业借力多层次资本市场上市挂牌融资，加大对优质中小型上市后备企业，特别是科技创新型、专精特新企业的挖掘和推动力度，帮助企业解决上市挂牌过程中遇到的困难和障碍。</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2.支持符合条件的中小企业发行债券融资，鼓励中小企业发行绿色债券、科技债券等创新类债券加速发展和转型。</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3.引导证券期货机构提升服务中小企业能力和水平。推动辖区证券公司将资源向普惠金融服务倾斜，加强中小企业投融资对接服务力度；指导期货机构帮助中小企业了解并合理运用期货工具对冲经营风险。</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4.支持推动海峡股权交易中心“专精特新专板”等特色板块建设，探索创新服务模式，为中小企业提供股权登记、质押、分红、转让、交易撮合等服务。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01" w:hRule="atLeast"/>
          <w:jc w:val="center"/>
        </w:trPr>
        <w:tc>
          <w:tcPr>
            <w:tcW w:w="1353" w:type="dxa"/>
            <w:vMerge w:val="restart"/>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创新强企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省工信厅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1.联合市县加强创新型中小企业、专精特新中小企业、专精特新“小巨人”企业梯度培育，建立专精特新中小企业培育赋能体系，促进专精特新企业发展壮大。</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2.开展“惠企政策进百园入万企”、组织开展科技成果赋智、质量标准品牌赋值、数字化赋能中小企业等系列活动，推动大中小企业融通创新。</w:t>
            </w:r>
          </w:p>
          <w:p>
            <w:pPr>
              <w:numPr>
                <w:ilvl w:val="0"/>
                <w:numId w:val="0"/>
              </w:numPr>
              <w:adjustRightInd w:val="0"/>
              <w:snapToGrid w:val="0"/>
              <w:spacing w:line="320" w:lineRule="exact"/>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3.完善科技成果转化支撑体系，认定50家省</w:t>
            </w:r>
            <w:r>
              <w:rPr>
                <w:rFonts w:hint="eastAsia" w:ascii="仿宋_GB2312" w:hAnsi="仿宋_GB2312" w:eastAsia="仿宋_GB2312" w:cs="仿宋_GB2312"/>
                <w:color w:val="auto"/>
                <w:sz w:val="28"/>
                <w:szCs w:val="28"/>
                <w:lang w:val="en-US" w:eastAsia="zh-CN"/>
              </w:rPr>
              <w:t>级</w:t>
            </w:r>
            <w:r>
              <w:rPr>
                <w:rFonts w:hint="default" w:ascii="仿宋_GB2312" w:hAnsi="仿宋_GB2312" w:eastAsia="仿宋_GB2312" w:cs="仿宋_GB2312"/>
                <w:color w:val="auto"/>
                <w:sz w:val="28"/>
                <w:szCs w:val="28"/>
                <w:lang w:val="en-US" w:eastAsia="zh-CN"/>
              </w:rPr>
              <w:t>企业技术中心，建设5家以上制造业中试平台。</w:t>
            </w:r>
          </w:p>
          <w:p>
            <w:pPr>
              <w:numPr>
                <w:ilvl w:val="0"/>
                <w:numId w:val="0"/>
              </w:numPr>
              <w:adjustRightInd w:val="0"/>
              <w:snapToGrid w:val="0"/>
              <w:spacing w:line="320" w:lineRule="exact"/>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4.深入实施制造业卓越质量工程，指导企业开展质量管理能力评价。</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加强工业设计中心培育，</w:t>
            </w:r>
            <w:r>
              <w:rPr>
                <w:rFonts w:hint="eastAsia" w:ascii="仿宋_GB2312" w:hAnsi="仿宋_GB2312" w:eastAsia="仿宋_GB2312" w:cs="仿宋_GB2312"/>
                <w:color w:val="auto"/>
                <w:sz w:val="28"/>
                <w:szCs w:val="28"/>
                <w:lang w:val="en-US" w:eastAsia="zh-CN"/>
              </w:rPr>
              <w:t>统筹举办“中国·海峡”系列工业设计大赛，推动优秀工业设计成果转化，</w:t>
            </w:r>
            <w:r>
              <w:rPr>
                <w:rFonts w:hint="default" w:ascii="仿宋_GB2312" w:hAnsi="仿宋_GB2312" w:eastAsia="仿宋_GB2312" w:cs="仿宋_GB2312"/>
                <w:color w:val="auto"/>
                <w:sz w:val="28"/>
                <w:szCs w:val="28"/>
                <w:lang w:val="en-US" w:eastAsia="zh-CN"/>
              </w:rPr>
              <w:t>促进工业设计与制造业深度融合。</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lang w:val="en-US" w:eastAsia="zh-CN"/>
              </w:rPr>
              <w:t>开展“智赋万企”行动，分行业分地区推动企业智能化改造升级，推动一批企业上云、上平台。建设中小企业数字化转型公共服务平台，引导服务商研发推广“小快轻准”数字化产品和解决方案。纵深推进中小企业数字化赋能专项行动，指导做好数字化转型试点工作，发挥示范带动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5"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福州海关</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参与推动扩大肉类、水产品、乳品、油脂等民生产品市场准入，支持印尼鲜食椰子扩大进口。落实优化进境动植物种质资源检疫监管措施，支持鳗苗等优质水产苗种、蔬菜种子等扩大进口。</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服务鲜活农产品通关，开辟活体动物、冰鲜肉制品、水产品等鲜活农产品通关“绿色通道”，保障“优先检测、快检快放”。</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探索实施出口农产品生产加工存放注册登记远程视频审核、低风险农产品“中心+现场”查验模式改革，积极争取出口农产品“批次查检”试点，助力辖区农产品中小企业出口提质增效。</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取消跨境电商出口海外仓模式备案，简化跨境电商出口单证申报手续，无需传输“收款”电子信息。</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积极在关区开展跨境电商货物与其他货物拼箱出口并推动适用“先查验后装运”监管模式。指导现场开展好跨境电商出口跨关区退货试点工作，优化出口退货审单比例。支持跨境电商出口退货后再集拼“合包”出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厦门海关</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推动（晋江）体育产品技贸措施评议基地常态化运作，推进（漳州）罐头食品技贸措施评议基地申办。加强对重点企业宣讲，有效应对出口技术贸易壁垒。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0"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省工商联</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1.收集梳理百强企业科技创新技术堵点、卡点，做好有关服务工作。与省科技厅共同印发《支持民营企业科技创新2025年度工作要点》，强化科技创新政策奖励。</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2.联合省科技厅、省税务局共同开展企业研发费用税前加计扣除“线上课堂”辅导讲座。</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3.与福州大学共同举办产学研对接活动，80多家企业参加活动与福州大学对接科研成果转化和技术攻关。</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4.收集梳理福建制造业民营企业100强和创新型民营企业100强的技术卡点，联合省科技厅以及协作科研机构、金融机构共同做好服务工作。</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5.持续推进校企产学研合作，及时把高校最新科研成果推送给民营企业，收集推送给高校福建民营企业的科技攻关需求，促进科技创新与产业创新的融合。</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6.在泉州市举办外贸优品交流对接会，服务外贸企业与国内零售龙头企业、外贸龙头企业、跨境电商、跨境物流等对接合作。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5" w:hRule="atLeast"/>
          <w:jc w:val="center"/>
        </w:trPr>
        <w:tc>
          <w:tcPr>
            <w:tcW w:w="1353" w:type="dxa"/>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创新强企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省市场监管局</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（省知识产权局）</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1.持续深化质量技术帮扶“提质强企”三年行动，组织开展“你点我帮八闽行”活动，促进中小企业提升产品质量水平。</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2.组织不少于200家小微企业开展质量管理体系认证提升行动。</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3.常态化开展“计量服务中小企业行”活动，持续推进“中小企业计量伙伴计划”，积极帮助企业提升计量能力和水平。</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4.深化检验检测促进产业优化升级行动，推动第一批检验检测促进产业优化升级行动21个项目见实效。</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开展知识产权公共服务惠企行动，以专利产业化样板培育企业为重点，挖掘企业知识产权服务需求，引导、动员各类服务机构与企业积极对接，为中小企业提供解决方案。开展公共服务能力提升系列培训活动，扩大服务范围、提升服务水平。</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6.加强知识产权成果应用，征集一批专利密集型产品成果进行集中展示推介宣传，加大对专利密集型产品推广力度。</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7.编制《福建省</w:t>
            </w:r>
            <w:bookmarkStart w:id="1" w:name="_GoBack"/>
            <w:bookmarkEnd w:id="1"/>
            <w:r>
              <w:rPr>
                <w:rFonts w:hint="eastAsia" w:ascii="仿宋_GB2312" w:hAnsi="仿宋_GB2312" w:eastAsia="仿宋_GB2312" w:cs="仿宋_GB2312"/>
                <w:color w:val="auto"/>
                <w:sz w:val="28"/>
                <w:szCs w:val="28"/>
                <w:lang w:val="en-US" w:eastAsia="zh-CN"/>
              </w:rPr>
              <w:t>企业海外商标布局指引》《福建省商标与地理标志服务手册》，与世界知识产权组织中国办事处共同举办“商标国际注册马德里体系企业推广会”，为中小微企业开拓国际市场保驾护航。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29" w:hRule="atLeast"/>
          <w:jc w:val="center"/>
        </w:trPr>
        <w:tc>
          <w:tcPr>
            <w:tcW w:w="1353" w:type="dxa"/>
            <w:vMerge w:val="restart"/>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人才兴企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省工信厅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1.开展招聘高校毕业生活动和“优企进校 招才引智”专项行动，引导优秀人才到中小企业就业。</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深入实施中小企业经营管理人员培训工程，提升中小企业经营管理水平。加强中小企业人才线上培训平台建设，充实网络课程库，征集遴选一批中小企业人才培训“名师优课”，组织“名师优课”公益送课园区行活动，降低培训门槛。</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3.组织开展专精特新中小企业高级职称评审，畅通企业人才发展通道。</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4.开展职工技能素质提升培训，促进职工技术技能适应新型工业化发展需求。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4" w:hRule="atLeast"/>
          <w:jc w:val="center"/>
        </w:trPr>
        <w:tc>
          <w:tcPr>
            <w:tcW w:w="1353" w:type="dxa"/>
            <w:vMerge w:val="continue"/>
            <w:vAlign w:val="center"/>
          </w:tcPr>
          <w:p>
            <w:pPr>
              <w:adjustRightInd w:val="0"/>
              <w:snapToGrid w:val="0"/>
              <w:spacing w:line="360" w:lineRule="exact"/>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省人社厅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配合做好高层次人才服务。配合省委组织部推进实施《福建省高层次人才认定和支持办法(试行)》，对符合条件的高层次人才由相关部门落实安家补助、子女教育、健康保障和出入境居留便利等优惠政策，支持企业吸引相关高层次人才来闽创业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9"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省总工会</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会同省工信厅、人社厅等部门，深入开展“劳模工匠助企行”专项行动，组织“劳模工匠助企特派员”和“劳模工匠助企服务志愿者”，通过参与创新、联合攻关、联盟结对方式，到企业开展技术咨询、技术攻关、工艺改进等服务，充分发挥劳模工匠和技术能手的技术特长和专业优势，帮助企业提升创新能力和市场竞争力，赋能企业高质量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4"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省市场监管局</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开展检验检测机构能力验证，组织不少于300家检验检测机构开展环境保护相关项目能力验证。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44" w:hRule="atLeast"/>
          <w:jc w:val="center"/>
        </w:trPr>
        <w:tc>
          <w:tcPr>
            <w:tcW w:w="1353" w:type="dxa"/>
            <w:vMerge w:val="restart"/>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法律护企</w:t>
            </w: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省工信厅</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
              </w:rPr>
              <w:t>1.</w:t>
            </w:r>
            <w:r>
              <w:rPr>
                <w:rFonts w:hint="eastAsia" w:ascii="仿宋_GB2312" w:hAnsi="仿宋_GB2312" w:eastAsia="仿宋_GB2312" w:cs="仿宋_GB2312"/>
                <w:color w:val="auto"/>
                <w:sz w:val="28"/>
                <w:szCs w:val="28"/>
                <w:lang w:val="en-US" w:eastAsia="zh-CN"/>
              </w:rPr>
              <w:t>健全拖欠中小企业账款投诉办理运行机制，对投诉受理、交办、办理实行全流程、常态化跟踪，定期通报办理情况，通过强化流程管控切实提高欠款化解效率。</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
              </w:rPr>
              <w:t>2.</w:t>
            </w:r>
            <w:r>
              <w:rPr>
                <w:rFonts w:hint="eastAsia" w:ascii="仿宋_GB2312" w:hAnsi="仿宋_GB2312" w:eastAsia="仿宋_GB2312" w:cs="仿宋_GB2312"/>
                <w:color w:val="auto"/>
                <w:sz w:val="28"/>
                <w:szCs w:val="28"/>
                <w:lang w:val="en-US" w:eastAsia="zh-CN"/>
              </w:rPr>
              <w:t>全面摸排地方政府拖欠企业账款底数，加大清欠力度，抓好《中华人民共和国中小企业促进法》《保障中小企业款项支付条例》等法律法规宣贯实施，切实保障中小企业合法权益。</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3.组织服务资源，创新服务方式，为企业提供公益性法律服务，引导中小企业加强合规意识。</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4.实施中小企业出海服务专项行动，鼓励优质服务机构为中小企业提供海外权益保护服务。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5" w:hRule="atLeast"/>
          <w:jc w:val="center"/>
        </w:trPr>
        <w:tc>
          <w:tcPr>
            <w:tcW w:w="1353" w:type="dxa"/>
            <w:vMerge w:val="continue"/>
            <w:vAlign w:val="center"/>
          </w:tcPr>
          <w:p>
            <w:pPr>
              <w:adjustRightInd w:val="0"/>
              <w:snapToGrid w:val="0"/>
              <w:spacing w:line="360" w:lineRule="exact"/>
              <w:jc w:val="center"/>
              <w:rPr>
                <w:rFonts w:hint="eastAsia" w:ascii="仿宋_GB2312" w:hAnsi="仿宋_GB2312" w:eastAsia="仿宋_GB2312" w:cs="仿宋_GB2312"/>
                <w:color w:val="auto"/>
                <w:kern w:val="0"/>
                <w:sz w:val="28"/>
                <w:szCs w:val="28"/>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省发改委</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贯彻落实《民营经济促进法》，结合我省实际，推动制定《福建省民营经济促进条例》，强化民营经济法治保障。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9" w:hRule="atLeast"/>
          <w:jc w:val="center"/>
        </w:trPr>
        <w:tc>
          <w:tcPr>
            <w:tcW w:w="1353" w:type="dxa"/>
            <w:vMerge w:val="continue"/>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福州海关</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持续加大主动披露政策宣讲力度，引导企业“会用”和“用好”海关主动披露政策，助力企业尽享政策红利。依照过罚相当原则，对于符合《海关行政处罚裁量基准（一）（二）（三）》“初次违法免罚”“轻微违法免罚”清单的涉企违规行为，依法适用不予处罚，实现社会效果与法律效果的统一。</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符合简易程序和快速办理条件的涉企违规案件，严格适用简快程序办理。对符合收取担保放行条件的普通程序案件，在基本查清案件事实后2个工作日内收保放行，保障企业通关效率。对涉企行政案件加强流程监控和业务指导，确保案件从简从快、处罚适当，维护当事人的合法权益。</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涉案企业确有经济困难，书面提出申请延期或者分期缴纳罚款的，办案部门应当于2个工作日内审查完毕，无特殊情况应当予以同意。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9" w:hRule="atLeast"/>
          <w:jc w:val="center"/>
        </w:trPr>
        <w:tc>
          <w:tcPr>
            <w:tcW w:w="1353" w:type="dxa"/>
            <w:vMerge w:val="continue"/>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厦门海关</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因地制宜开展针对性地政策宣讲，开展“‘急难愁盼’线上办”暖心服务活动，建立“关区专家团队”，依托“中国海关信用管理服务平台”做好企业问题收集、研究和反馈，提供针对性的解决方案。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9" w:hRule="atLeast"/>
          <w:jc w:val="center"/>
        </w:trPr>
        <w:tc>
          <w:tcPr>
            <w:tcW w:w="1353" w:type="dxa"/>
            <w:vMerge w:val="continue"/>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省市场监管局</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（省知识产权局）</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1.做好《福建省促进个体工商户发展条例》起草工作。</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充分结合企业信用风险分类管理结果，通过“双随机、一公开”、专项检查等方式，加大对大型企业，特别是信用风险等级较高和高的C类、D类的大型企业，如实填报拖欠中小企业账款相关年报信息情况的抽查检查力度，及时公示检查结果，并通报行业主管部门。</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3.高质量运行国家级知识产权保护中心、快速维权中心，持续提升对我省创新型企业知识产权指导质效和服务水平，年底前，服务指导我省创新主体不少于3700件次。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9" w:hRule="atLeast"/>
          <w:jc w:val="center"/>
        </w:trPr>
        <w:tc>
          <w:tcPr>
            <w:tcW w:w="1353" w:type="dxa"/>
            <w:vMerge w:val="continue"/>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p>
        </w:tc>
        <w:tc>
          <w:tcPr>
            <w:tcW w:w="1521"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省贸促会</w:t>
            </w:r>
          </w:p>
        </w:tc>
        <w:tc>
          <w:tcPr>
            <w:tcW w:w="12744" w:type="dxa"/>
            <w:vAlign w:val="center"/>
          </w:tcPr>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1.举办“涉外商事法律服务八闽行”活动，邀请专家围绕中美经贸关系及企业应对策略等企业关注的热点作专题辅导和现场咨询，指导企业妥善应对经贸风险。                        </w:t>
            </w:r>
          </w:p>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2.选编并发布福建省贸促会预警信息快报，帮助进出口企业及时掌握重要经贸商法资讯，为企业经营决策提供参考。</w:t>
            </w:r>
          </w:p>
        </w:tc>
      </w:tr>
    </w:tbl>
    <w:p>
      <w:pPr>
        <w:numPr>
          <w:ilvl w:val="0"/>
          <w:numId w:val="0"/>
        </w:numPr>
        <w:adjustRightInd w:val="0"/>
        <w:snapToGrid w:val="0"/>
        <w:spacing w:line="320" w:lineRule="exact"/>
        <w:rPr>
          <w:rFonts w:hint="eastAsia" w:ascii="仿宋_GB2312" w:hAnsi="仿宋_GB2312" w:eastAsia="仿宋_GB2312" w:cs="仿宋_GB2312"/>
          <w:color w:val="auto"/>
          <w:sz w:val="28"/>
          <w:szCs w:val="28"/>
          <w:lang w:val="en-US" w:eastAsia="zh-CN"/>
        </w:rPr>
      </w:pPr>
    </w:p>
    <w:sectPr>
      <w:pgSz w:w="16838" w:h="11906" w:orient="landscape"/>
      <w:pgMar w:top="1587" w:right="1440" w:bottom="1587"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7EFF1362"/>
    <w:rsid w:val="B7592F7D"/>
    <w:rsid w:val="DFFDC9B0"/>
    <w:rsid w:val="FDFD6F36"/>
    <w:rsid w:val="FFFF933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index 6"/>
    <w:basedOn w:val="1"/>
    <w:next w:val="1"/>
    <w:qFormat/>
    <w:uiPriority w:val="0"/>
    <w:pPr>
      <w:ind w:left="2100"/>
    </w:pPr>
    <w:rPr>
      <w:rFonts w:ascii="Times New Roman" w:hAnsi="Times New Roman" w:eastAsia="宋体" w:cs="Times New Roman"/>
    </w:rPr>
  </w:style>
  <w:style w:type="paragraph" w:styleId="4">
    <w:name w:val="Body Text Indent"/>
    <w:basedOn w:val="1"/>
    <w:qFormat/>
    <w:uiPriority w:val="0"/>
    <w:pPr>
      <w:spacing w:after="120" w:afterAutospacing="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7615</Words>
  <Characters>7768</Characters>
  <Lines>0</Lines>
  <Paragraphs>0</Paragraphs>
  <TotalTime>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2025-04-08T00:10:00Z</dcterms:created>
  <dc:creator>杨祖德</dc:creator>
  <cp:lastModifiedBy>林源</cp:lastModifiedBy>
  <dcterms:modified xsi:type="dcterms:W3CDTF">2025-06-11T21:02:24Z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AA0E9518EC130A9C49D23668FF1F70E5_43</vt:lpwstr>
  </property>
  <property fmtid="{D5CDD505-2E9C-101B-9397-08002B2CF9AE}" pid="4" name="KSOTemplateDocerSaveRecord">
    <vt:lpwstr>eyJoZGlkIjoiMTA5ZGRjYjhlMDRiZjExOGJiN2JlNmU0ZmVkYjRiYTYiLCJ1c2VySWQiOiIzNjI1NTMyNzcifQ==</vt:lpwstr>
  </property>
</Properties>
</file>