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spacing w:afterLines="0" w:afterAutospacing="0" w:line="580" w:lineRule="exact"/>
        <w:ind w:firstLine="0" w:firstLineChars="0"/>
        <w:jc w:val="both"/>
        <w:rPr>
          <w:rFonts w:hint="eastAsia" w:ascii="黑体" w:hAnsi="黑体" w:eastAsia="黑体" w:cs="黑体"/>
          <w:color w:val="auto"/>
          <w:kern w:val="2"/>
          <w:sz w:val="32"/>
          <w:szCs w:val="32"/>
          <w:highlight w:val="none"/>
          <w:shd w:val="clear" w:color="auto" w:fill="FFFFFF"/>
          <w:lang w:val="en-US" w:eastAsia="zh-CN" w:bidi="ar-SA"/>
        </w:rPr>
      </w:pPr>
      <w:r>
        <w:rPr>
          <w:rFonts w:hint="eastAsia" w:ascii="黑体" w:hAnsi="黑体" w:eastAsia="黑体" w:cs="黑体"/>
          <w:color w:val="auto"/>
          <w:kern w:val="2"/>
          <w:sz w:val="32"/>
          <w:szCs w:val="32"/>
          <w:highlight w:val="none"/>
          <w:shd w:val="clear" w:color="auto" w:fill="FFFFFF"/>
          <w:lang w:val="en-US" w:eastAsia="zh-CN" w:bidi="ar-SA"/>
        </w:rPr>
        <w:t>附件3</w:t>
      </w:r>
    </w:p>
    <w:p>
      <w:pPr>
        <w:widowControl w:val="0"/>
        <w:adjustRightInd w:val="0"/>
        <w:snapToGrid w:val="0"/>
        <w:spacing w:before="0" w:beforeAutospacing="0" w:after="0" w:afterAutospacing="0" w:line="600" w:lineRule="atLeast"/>
        <w:ind w:left="0" w:right="0" w:firstLine="0" w:firstLineChars="0"/>
        <w:jc w:val="center"/>
        <w:rPr>
          <w:rFonts w:hint="eastAsia" w:ascii="方正小标宋简体" w:hAnsi="方正小标宋简体" w:eastAsia="方正小标宋简体" w:cs="方正小标宋简体"/>
          <w:color w:val="auto"/>
          <w:kern w:val="2"/>
          <w:sz w:val="44"/>
          <w:szCs w:val="44"/>
          <w:highlight w:val="none"/>
          <w:lang w:val="en-US" w:eastAsia="zh-CN"/>
        </w:rPr>
      </w:pPr>
      <w:r>
        <w:rPr>
          <w:rFonts w:hint="eastAsia" w:ascii="方正小标宋简体" w:hAnsi="方正小标宋简体" w:eastAsia="方正小标宋简体" w:cs="方正小标宋简体"/>
          <w:color w:val="auto"/>
          <w:kern w:val="2"/>
          <w:sz w:val="44"/>
          <w:szCs w:val="44"/>
          <w:highlight w:val="none"/>
          <w:lang w:val="en-US" w:eastAsia="zh-CN"/>
        </w:rPr>
        <w:t>福建省近零碳工厂验收评价表</w:t>
      </w:r>
    </w:p>
    <w:p>
      <w:pPr>
        <w:widowControl w:val="0"/>
        <w:spacing w:afterLines="0" w:afterAutospacing="0" w:line="580" w:lineRule="exact"/>
        <w:ind w:firstLine="0" w:firstLineChars="0"/>
        <w:jc w:val="both"/>
        <w:rPr>
          <w:rFonts w:hint="eastAsia" w:ascii="仿宋_GB2312" w:hAnsi="仿宋_GB2312" w:eastAsia="仿宋_GB2312" w:cs="仿宋_GB2312"/>
          <w:color w:val="auto"/>
          <w:kern w:val="2"/>
          <w:sz w:val="32"/>
          <w:szCs w:val="32"/>
          <w:highlight w:val="none"/>
          <w:shd w:val="clear" w:color="auto" w:fill="FFFFFF"/>
          <w:lang w:val="en-US" w:eastAsia="zh-CN" w:bidi="ar-SA"/>
        </w:rPr>
      </w:pPr>
      <w:r>
        <w:rPr>
          <w:rFonts w:hint="eastAsia" w:ascii="仿宋_GB2312" w:hAnsi="仿宋_GB2312" w:eastAsia="仿宋_GB2312" w:cs="仿宋_GB2312"/>
          <w:color w:val="auto"/>
          <w:kern w:val="2"/>
          <w:sz w:val="32"/>
          <w:szCs w:val="32"/>
          <w:highlight w:val="none"/>
          <w:shd w:val="clear" w:color="auto" w:fill="FFFFFF"/>
          <w:lang w:val="en-US" w:eastAsia="zh-CN" w:bidi="ar-SA"/>
        </w:rPr>
        <w:t>企业名称：</w:t>
      </w:r>
    </w:p>
    <w:tbl>
      <w:tblPr>
        <w:tblStyle w:val="3"/>
        <w:tblW w:w="499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531"/>
        <w:gridCol w:w="1203"/>
        <w:gridCol w:w="746"/>
        <w:gridCol w:w="4709"/>
        <w:gridCol w:w="576"/>
        <w:gridCol w:w="4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731"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序号</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80" w:lineRule="exact"/>
              <w:ind w:left="0" w:right="0"/>
              <w:jc w:val="center"/>
              <w:textAlignment w:val="auto"/>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评价指标</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评价要求</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是否</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符合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否</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决</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项</w:t>
            </w:r>
          </w:p>
        </w:tc>
        <w:tc>
          <w:tcPr>
            <w:tcW w:w="293"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1</w:t>
            </w:r>
          </w:p>
        </w:tc>
        <w:tc>
          <w:tcPr>
            <w:tcW w:w="1076" w:type="pct"/>
            <w:gridSpan w:val="2"/>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基本条件</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福建省内依法开展生产经营活动的</w:t>
            </w:r>
            <w:r>
              <w:rPr>
                <w:rFonts w:hint="eastAsia" w:ascii="仿宋_GB2312" w:hAnsi="仿宋_GB2312" w:eastAsia="仿宋_GB2312" w:cs="仿宋_GB2312"/>
                <w:b w:val="0"/>
                <w:bCs w:val="0"/>
                <w:color w:val="auto"/>
                <w:kern w:val="0"/>
                <w:sz w:val="24"/>
                <w:szCs w:val="24"/>
                <w:highlight w:val="none"/>
                <w:lang w:val="en-US" w:eastAsia="zh" w:bidi="ar-SA"/>
              </w:rPr>
              <w:t>规模以上</w:t>
            </w:r>
            <w:r>
              <w:rPr>
                <w:rFonts w:hint="eastAsia" w:ascii="仿宋_GB2312" w:hAnsi="仿宋_GB2312" w:eastAsia="仿宋_GB2312" w:cs="仿宋_GB2312"/>
                <w:b w:val="0"/>
                <w:bCs w:val="0"/>
                <w:color w:val="000000"/>
                <w:kern w:val="0"/>
                <w:sz w:val="24"/>
                <w:szCs w:val="24"/>
                <w:highlight w:val="none"/>
                <w:lang w:val="en-US" w:eastAsia="zh-CN" w:bidi="ar-SA"/>
              </w:rPr>
              <w:t>制造业企业。</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2</w:t>
            </w:r>
          </w:p>
        </w:tc>
        <w:tc>
          <w:tcPr>
            <w:tcW w:w="1076"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符合国家产业政策要求，未使用国家明令禁止或者列入限制、淘汰目录的落后工艺、设备和产品。</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3</w:t>
            </w:r>
          </w:p>
        </w:tc>
        <w:tc>
          <w:tcPr>
            <w:tcW w:w="1076"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近36个月无安全（含网络安全、数据安全）、质量、环境污染等事故，无节能、环保、偷漏税等违法违规行为（以“信用中国”为准），不属于失信被执行人。</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4</w:t>
            </w:r>
          </w:p>
        </w:tc>
        <w:tc>
          <w:tcPr>
            <w:tcW w:w="1076" w:type="pct"/>
            <w:gridSpan w:val="2"/>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近36个月未在国务院及有关部门相关督查工作中被发现存在严重问题，未被列入工业节能监察整改名单或已按要求完成整改。</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1076" w:type="pct"/>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严格遵守国家和地方绿色低碳循环利用相关法律法规、政策、标准和相关规定。</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6</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能效水平</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单位产品、工序能耗应达到相关行业强制性能耗限额国家标准的1级或先进值或福建省能源消耗限额标准的先进值（适用时）。涉及工业重点领域产品的，工厂的能效水平应达到《工业重点领域能效标杆水平和基准水平》的能效标杆水平。</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7</w:t>
            </w:r>
          </w:p>
        </w:tc>
        <w:tc>
          <w:tcPr>
            <w:tcW w:w="1076" w:type="pct"/>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碳削减</w:t>
            </w:r>
          </w:p>
        </w:tc>
        <w:tc>
          <w:tcPr>
            <w:tcW w:w="2599"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培育期内年碳排放量保持下降且碳削减率不低于5%（以未抵消的碳排放量计算）。</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38"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8</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能耗规模及</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绿色化水平</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年综合能源消费量在5000吨标准煤及以上（当量值），且获得省级及以上绿色工厂称号。</w:t>
            </w:r>
          </w:p>
        </w:tc>
        <w:tc>
          <w:tcPr>
            <w:tcW w:w="593"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leftChars="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31" w:type="pct"/>
            <w:gridSpan w:val="2"/>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序号</w:t>
            </w:r>
          </w:p>
        </w:tc>
        <w:tc>
          <w:tcPr>
            <w:tcW w:w="1076" w:type="pct"/>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评价指标</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评价要求</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分值</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000000"/>
                <w:kern w:val="0"/>
                <w:sz w:val="24"/>
                <w:szCs w:val="24"/>
                <w:highlight w:val="none"/>
                <w:lang w:val="en-US" w:eastAsia="zh-CN" w:bidi="ar-SA"/>
              </w:rPr>
              <w:t>得分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438"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评</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分</w:t>
            </w: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项</w:t>
            </w: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9</w:t>
            </w:r>
          </w:p>
        </w:tc>
        <w:tc>
          <w:tcPr>
            <w:tcW w:w="6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温室气体减排绩效（30）</w:t>
            </w:r>
          </w:p>
        </w:tc>
        <w:tc>
          <w:tcPr>
            <w:tcW w:w="411"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碳排放强度</w:t>
            </w:r>
          </w:p>
        </w:tc>
        <w:tc>
          <w:tcPr>
            <w:tcW w:w="2599"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单位工业增加值碳排放量达到我省平均水平（≤8吨二氧化碳/万元，以未抵消的碳排放量计算）。</w:t>
            </w:r>
          </w:p>
        </w:tc>
        <w:tc>
          <w:tcPr>
            <w:tcW w:w="318"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15</w:t>
            </w:r>
          </w:p>
        </w:tc>
        <w:tc>
          <w:tcPr>
            <w:tcW w:w="274" w:type="pc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10</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能效提升</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近2年开展3项及以上节能减碳改造项目（含可再生能源利用项目）。</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15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12</w:t>
            </w:r>
          </w:p>
        </w:tc>
        <w:tc>
          <w:tcPr>
            <w:tcW w:w="6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建立零碳管理体系（30）</w:t>
            </w:r>
          </w:p>
        </w:tc>
        <w:tc>
          <w:tcPr>
            <w:tcW w:w="41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温室气体排放管理体系</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设立温室气体排放管理机构，指定专人负责企业温室气体排放管理的制度建设和节能降碳工作推进。</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b/>
                <w:bCs/>
                <w:color w:val="auto"/>
                <w:sz w:val="24"/>
                <w:szCs w:val="24"/>
                <w:highlight w:val="none"/>
              </w:rPr>
            </w:pPr>
          </w:p>
        </w:tc>
        <w:tc>
          <w:tcPr>
            <w:tcW w:w="2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kern w:val="0"/>
                <w:sz w:val="24"/>
                <w:szCs w:val="24"/>
                <w:highlight w:val="none"/>
              </w:rPr>
            </w:pP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加强员工温室气体排放管理相关能力建设，定期组织相关的教育、培训，并对结果进行考评。</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b/>
                <w:bCs/>
                <w:color w:val="auto"/>
                <w:sz w:val="24"/>
                <w:szCs w:val="24"/>
                <w:highlight w:val="none"/>
              </w:rPr>
            </w:pPr>
          </w:p>
        </w:tc>
        <w:tc>
          <w:tcPr>
            <w:tcW w:w="2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kern w:val="0"/>
                <w:sz w:val="24"/>
                <w:szCs w:val="24"/>
                <w:highlight w:val="none"/>
              </w:rPr>
            </w:pP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建立温室气体排放统计及报告制度，明确数据收集、量化、报告及归档要求。</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36" w:hRule="atLeast"/>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13</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温室气体排放核算和报告</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依据生态环境部发布的企业温室气体排放核算与报告指南、国家发展改革委发布的重点行业企业温室气体排放核算方法与报告指南（试行）、GB/T 32150及GB/T 32151、ISO14064-1:2018等对温室气体排放进行核算和报告，必要时进行结果披露。</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b/>
                <w:bCs/>
                <w:color w:val="auto"/>
                <w:sz w:val="24"/>
                <w:szCs w:val="24"/>
                <w:highlight w:val="none"/>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kern w:val="0"/>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rPr>
              <w:t>14</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000000"/>
                <w:kern w:val="0"/>
                <w:sz w:val="24"/>
                <w:szCs w:val="24"/>
                <w:highlight w:val="none"/>
                <w:lang w:val="en-US" w:eastAsia="zh-CN" w:bidi="ar-SA"/>
              </w:rPr>
              <w:t>体系建设</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能源管理体系、环境管理体系通过认证。</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15</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信息化系统</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按照工业和信息化部《工业企业和园区数字化能碳管理中心建设指南》建设数字化能碳管理中心。</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16</w:t>
            </w:r>
          </w:p>
        </w:tc>
        <w:tc>
          <w:tcPr>
            <w:tcW w:w="664"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000000"/>
                <w:kern w:val="0"/>
                <w:sz w:val="24"/>
                <w:szCs w:val="24"/>
                <w:highlight w:val="none"/>
                <w:lang w:val="en-US" w:eastAsia="zh-CN" w:bidi="ar-SA"/>
              </w:rPr>
            </w:pPr>
          </w:p>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温室气体减排措施（40）</w:t>
            </w:r>
          </w:p>
        </w:tc>
        <w:tc>
          <w:tcPr>
            <w:tcW w:w="41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低零碳能源</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优化能源结构，控制化石能源消费，提高非化石能源消费占比。</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b/>
                <w:bCs/>
                <w:color w:val="auto"/>
                <w:sz w:val="24"/>
                <w:szCs w:val="24"/>
                <w:highlight w:val="none"/>
              </w:rPr>
            </w:pPr>
          </w:p>
        </w:tc>
        <w:tc>
          <w:tcPr>
            <w:tcW w:w="2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kern w:val="0"/>
                <w:sz w:val="24"/>
                <w:szCs w:val="24"/>
                <w:highlight w:val="none"/>
              </w:rPr>
            </w:pP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利用厂区条件建设光伏发电或风力发电等可再生能源利用设施。</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17</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低零碳技术</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kern w:val="0"/>
                <w:sz w:val="24"/>
                <w:szCs w:val="24"/>
                <w:highlight w:val="none"/>
              </w:rPr>
              <w:t>积极推广风（光）储充一体化技术、多能互补技术、绿电直供技术等先进低碳能源技术。</w:t>
            </w:r>
            <w:r>
              <w:rPr>
                <w:rFonts w:hint="eastAsia" w:ascii="仿宋_GB2312" w:hAnsi="仿宋_GB2312" w:eastAsia="仿宋_GB2312" w:cs="仿宋_GB2312"/>
                <w:b w:val="0"/>
                <w:bCs w:val="0"/>
                <w:color w:val="000000"/>
                <w:kern w:val="0"/>
                <w:sz w:val="24"/>
                <w:szCs w:val="24"/>
                <w:highlight w:val="none"/>
                <w:lang w:val="en-US" w:eastAsia="zh-CN" w:bidi="ar-SA"/>
              </w:rPr>
              <w:t>采用国家和福建省节能、低碳技术推广目录中推荐的技术或产品，应用节能、低碳或负碳技术减少温室气体排放。</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18</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低零碳供应链</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向上游供应商获取原材料碳足迹相关数据，并采取措施推动供应链全链条低零碳发展。</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19</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产品生态设计及评价</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按照GB/T 24256对生产的产品进行生态设计，优化产品设计和生产工艺，减少原辅材料和能源的消耗。</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b/>
                <w:bCs/>
                <w:color w:val="auto"/>
                <w:sz w:val="24"/>
                <w:szCs w:val="24"/>
                <w:highlight w:val="none"/>
              </w:rPr>
            </w:pPr>
          </w:p>
        </w:tc>
        <w:tc>
          <w:tcPr>
            <w:tcW w:w="29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kern w:val="0"/>
                <w:sz w:val="24"/>
                <w:szCs w:val="24"/>
                <w:highlight w:val="none"/>
              </w:rPr>
            </w:pP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按照GB/T 32161等适用标准对生产的产品进行生态设计产品评价。</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438"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20</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产品碳足迹评价</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采用GB/T 24067等标准开展产品碳足迹核算或认证工作，根据核算结果实施产品碳足迹改善措施。</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auto"/>
                <w:kern w:val="0"/>
                <w:sz w:val="24"/>
                <w:szCs w:val="24"/>
                <w:highlight w:val="none"/>
                <w:lang w:val="en-US" w:eastAsia="zh-CN" w:bidi="ar-SA"/>
              </w:rPr>
            </w:pPr>
          </w:p>
        </w:tc>
        <w:tc>
          <w:tcPr>
            <w:tcW w:w="2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auto"/>
                <w:kern w:val="0"/>
                <w:sz w:val="24"/>
                <w:szCs w:val="24"/>
                <w:highlight w:val="none"/>
                <w:lang w:val="en-US" w:eastAsia="zh-CN" w:bidi="ar-SA"/>
              </w:rPr>
              <w:t>21</w:t>
            </w:r>
          </w:p>
        </w:tc>
        <w:tc>
          <w:tcPr>
            <w:tcW w:w="664"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before="0" w:beforeAutospacing="0" w:after="0" w:afterAutospacing="0" w:line="280" w:lineRule="exact"/>
              <w:ind w:left="0" w:right="0"/>
              <w:rPr>
                <w:rFonts w:hint="eastAsia" w:ascii="仿宋_GB2312" w:hAnsi="仿宋_GB2312" w:eastAsia="仿宋_GB2312" w:cs="仿宋_GB2312"/>
                <w:color w:val="auto"/>
                <w:sz w:val="24"/>
                <w:szCs w:val="24"/>
                <w:highlight w:val="none"/>
              </w:rPr>
            </w:pPr>
          </w:p>
        </w:tc>
        <w:tc>
          <w:tcPr>
            <w:tcW w:w="41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能源审计和节能诊断</w:t>
            </w:r>
          </w:p>
        </w:tc>
        <w:tc>
          <w:tcPr>
            <w:tcW w:w="259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both"/>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定期开展节能诊断或能源审计，挖掘节能减碳空间，提出合理化节能减碳措施。</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5</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4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bCs/>
                <w:color w:val="000000"/>
                <w:kern w:val="0"/>
                <w:sz w:val="24"/>
                <w:szCs w:val="24"/>
                <w:highlight w:val="none"/>
                <w:lang w:val="en-US" w:eastAsia="zh-CN" w:bidi="ar-SA"/>
              </w:rPr>
            </w:pPr>
          </w:p>
        </w:tc>
        <w:tc>
          <w:tcPr>
            <w:tcW w:w="3968"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合计</w:t>
            </w:r>
          </w:p>
        </w:tc>
        <w:tc>
          <w:tcPr>
            <w:tcW w:w="31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r>
              <w:rPr>
                <w:rFonts w:hint="eastAsia" w:ascii="仿宋_GB2312" w:hAnsi="仿宋_GB2312" w:eastAsia="仿宋_GB2312" w:cs="仿宋_GB2312"/>
                <w:b w:val="0"/>
                <w:bCs w:val="0"/>
                <w:color w:val="000000"/>
                <w:kern w:val="0"/>
                <w:sz w:val="24"/>
                <w:szCs w:val="24"/>
                <w:highlight w:val="none"/>
                <w:lang w:val="en-US" w:eastAsia="zh-CN" w:bidi="ar-SA"/>
              </w:rPr>
              <w:t>100</w:t>
            </w:r>
          </w:p>
        </w:tc>
        <w:tc>
          <w:tcPr>
            <w:tcW w:w="27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before="0" w:beforeAutospacing="0" w:after="0" w:afterAutospacing="0" w:line="280" w:lineRule="exact"/>
              <w:ind w:left="0" w:right="0" w:firstLine="0" w:firstLineChars="0"/>
              <w:jc w:val="center"/>
              <w:textAlignment w:val="center"/>
              <w:rPr>
                <w:rFonts w:hint="eastAsia" w:ascii="仿宋_GB2312" w:hAnsi="仿宋_GB2312" w:eastAsia="仿宋_GB2312" w:cs="仿宋_GB2312"/>
                <w:b w:val="0"/>
                <w:bCs w:val="0"/>
                <w:color w:val="auto"/>
                <w:kern w:val="0"/>
                <w:sz w:val="24"/>
                <w:szCs w:val="24"/>
                <w:highlight w:val="none"/>
                <w:lang w:val="en-US" w:eastAsia="zh-CN" w:bidi="ar-SA"/>
              </w:rPr>
            </w:pPr>
          </w:p>
        </w:tc>
      </w:tr>
    </w:tbl>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400" w:lineRule="exact"/>
        <w:ind w:left="0" w:right="0" w:firstLine="440" w:firstLineChars="200"/>
        <w:jc w:val="both"/>
        <w:textAlignment w:val="auto"/>
        <w:rPr>
          <w:rFonts w:hint="eastAsia" w:ascii="仿宋_GB2312" w:hAnsi="仿宋_GB2312" w:eastAsia="仿宋_GB2312" w:cs="仿宋_GB2312"/>
          <w:color w:val="auto"/>
          <w:kern w:val="2"/>
          <w:sz w:val="22"/>
          <w:szCs w:val="22"/>
          <w:highlight w:val="none"/>
          <w:lang w:val="en-US" w:eastAsia="zh-CN"/>
        </w:rPr>
      </w:pPr>
      <w:r>
        <w:rPr>
          <w:rFonts w:hint="eastAsia" w:ascii="仿宋_GB2312" w:hAnsi="仿宋_GB2312" w:eastAsia="仿宋_GB2312" w:cs="仿宋_GB2312"/>
          <w:color w:val="auto"/>
          <w:kern w:val="2"/>
          <w:sz w:val="22"/>
          <w:szCs w:val="22"/>
          <w:highlight w:val="none"/>
          <w:lang w:val="en-US" w:eastAsia="zh-CN"/>
        </w:rPr>
        <w:t>评价指标来源于福建省地方标准《低零碳工厂建设导则》（DB35/T 2285—2025）《工业企业碳效评价导则》（DB35/T 2258-2025），相关指标解释及计算方法可参</w:t>
      </w:r>
      <w:bookmarkStart w:id="0" w:name="_GoBack"/>
      <w:bookmarkEnd w:id="0"/>
      <w:r>
        <w:rPr>
          <w:rFonts w:hint="eastAsia" w:ascii="仿宋_GB2312" w:hAnsi="仿宋_GB2312" w:eastAsia="仿宋_GB2312" w:cs="仿宋_GB2312"/>
          <w:color w:val="auto"/>
          <w:kern w:val="2"/>
          <w:sz w:val="22"/>
          <w:szCs w:val="22"/>
          <w:highlight w:val="none"/>
          <w:lang w:val="en-US" w:eastAsia="zh-CN"/>
        </w:rPr>
        <w:t>考该标准，各项评价指标按照满足程度在0分到满分中取值。为便于理解和填报，现对部分指标作如下补充说明：</w:t>
      </w:r>
    </w:p>
    <w:p>
      <w:pPr>
        <w:widowControl/>
        <w:spacing w:afterLines="0" w:line="400" w:lineRule="atLeast"/>
        <w:ind w:firstLine="440" w:firstLineChars="200"/>
        <w:jc w:val="left"/>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碳削减率（序号7）是工厂第i年统计报告期通过碳减排和碳抵消等方式实现的碳削减量与基准线碳排放量的比率。按下式计算：</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i w:val="0"/>
          <w:color w:val="auto"/>
          <w:kern w:val="2"/>
          <w:sz w:val="22"/>
          <w:szCs w:val="22"/>
          <w:highlight w:val="none"/>
          <w:lang w:val="en-US" w:bidi="ar-SA"/>
        </w:rPr>
      </w:pPr>
      <m:oMathPara>
        <m:oMath>
          <m:sSub>
            <m:sSubPr>
              <m:ctrlPr>
                <w:rPr>
                  <w:rFonts w:hint="eastAsia" w:ascii="Cambria Math" w:hAnsi="Cambria Math" w:eastAsia="仿宋_GB2312" w:cs="仿宋_GB2312"/>
                  <w:i w:val="0"/>
                  <w:color w:val="000000"/>
                  <w:kern w:val="0"/>
                  <w:sz w:val="22"/>
                  <w:szCs w:val="22"/>
                  <w:lang w:val="en-US" w:eastAsia="zh-CN" w:bidi="ar"/>
                </w:rPr>
              </m:ctrlPr>
            </m:sSubPr>
            <m:e>
              <m:r>
                <m:rPr>
                  <m:sty m:val="p"/>
                </m:rPr>
                <w:rPr>
                  <w:rFonts w:hint="eastAsia" w:ascii="Cambria Math" w:hAnsi="Cambria Math" w:eastAsia="仿宋_GB2312" w:cs="仿宋_GB2312"/>
                  <w:color w:val="000000"/>
                  <w:kern w:val="0"/>
                  <w:sz w:val="22"/>
                  <w:szCs w:val="22"/>
                  <w:lang w:val="en-US" w:eastAsia="zh-CN" w:bidi="ar"/>
                </w:rPr>
                <m:t>φ</m:t>
              </m:r>
              <m:ctrlPr>
                <w:rPr>
                  <w:rFonts w:hint="eastAsia" w:ascii="Cambria Math" w:hAnsi="Cambria Math" w:eastAsia="仿宋_GB2312" w:cs="仿宋_GB2312"/>
                  <w:i w:val="0"/>
                  <w:color w:val="000000"/>
                  <w:kern w:val="0"/>
                  <w:sz w:val="22"/>
                  <w:szCs w:val="22"/>
                  <w:lang w:val="en-US" w:eastAsia="zh-CN" w:bidi="ar"/>
                </w:rPr>
              </m:ctrlPr>
            </m:e>
            <m:sub>
              <m:r>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i w:val="0"/>
                  <w:color w:val="000000"/>
                  <w:kern w:val="0"/>
                  <w:sz w:val="22"/>
                  <w:szCs w:val="22"/>
                  <w:lang w:val="en-US" w:eastAsia="zh-CN" w:bidi="ar"/>
                </w:rPr>
              </m:ctrlPr>
            </m:sub>
          </m:sSub>
          <m:r>
            <m:rPr>
              <m:sty m:val="p"/>
            </m:rPr>
            <w:rPr>
              <w:rFonts w:hint="eastAsia" w:ascii="Cambria Math" w:hAnsi="Cambria Math" w:eastAsia="仿宋_GB2312" w:cs="仿宋_GB2312"/>
              <w:color w:val="auto"/>
              <w:kern w:val="2"/>
              <w:sz w:val="22"/>
              <w:szCs w:val="22"/>
              <w:highlight w:val="none"/>
              <w:lang w:val="en-US" w:eastAsia="zh-CN" w:bidi="ar-SA"/>
            </w:rPr>
            <m:t>=</m:t>
          </m:r>
          <m:f>
            <m:fPr>
              <m:ctrlPr>
                <w:rPr>
                  <w:rFonts w:hint="eastAsia" w:ascii="Cambria Math" w:hAnsi="Cambria Math" w:eastAsia="仿宋_GB2312" w:cs="仿宋_GB2312"/>
                  <w:i/>
                  <w:color w:val="auto"/>
                  <w:kern w:val="2"/>
                  <w:sz w:val="22"/>
                  <w:szCs w:val="22"/>
                  <w:highlight w:val="none"/>
                  <w:lang w:val="en-US" w:bidi="ar-SA"/>
                </w:rPr>
              </m:ctrlPr>
            </m:fPr>
            <m:num>
              <m:r>
                <m:rPr>
                  <m:sty m:val="p"/>
                </m:rPr>
                <w:rPr>
                  <w:rFonts w:hint="eastAsia" w:ascii="Cambria Math" w:hAnsi="Cambria Math" w:eastAsia="仿宋_GB2312" w:cs="仿宋_GB2312"/>
                  <w:color w:val="000000"/>
                  <w:kern w:val="0"/>
                  <w:sz w:val="22"/>
                  <w:szCs w:val="22"/>
                  <w:lang w:val="en-US" w:eastAsia="zh-CN" w:bidi="ar"/>
                </w:rPr>
                <m:t>∆</m:t>
              </m:r>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color w:val="000000"/>
                      <w:kern w:val="0"/>
                      <w:sz w:val="22"/>
                      <w:szCs w:val="22"/>
                      <w:lang w:val="en-US" w:eastAsia="zh-CN" w:bidi="ar"/>
                    </w:rPr>
                  </m:ctrlPr>
                </m:sub>
              </m:sSub>
              <m:r>
                <m:rPr>
                  <m:sty m:val="p"/>
                </m:rPr>
                <w:rPr>
                  <w:rFonts w:hint="eastAsia" w:ascii="Cambria Math" w:hAnsi="Cambria Math" w:eastAsia="仿宋_GB2312" w:cs="仿宋_GB2312"/>
                  <w:color w:val="000000"/>
                  <w:kern w:val="0"/>
                  <w:sz w:val="22"/>
                  <w:szCs w:val="22"/>
                  <w:lang w:val="en-US" w:eastAsia="zh-CN" w:bidi="ar"/>
                </w:rPr>
                <m:t>+</m:t>
              </m:r>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i,offset</m:t>
                  </m:r>
                  <m:ctrlPr>
                    <w:rPr>
                      <w:rFonts w:hint="eastAsia" w:ascii="Cambria Math" w:hAnsi="Cambria Math" w:eastAsia="仿宋_GB2312" w:cs="仿宋_GB2312"/>
                      <w:color w:val="000000"/>
                      <w:kern w:val="0"/>
                      <w:sz w:val="22"/>
                      <w:szCs w:val="22"/>
                      <w:lang w:val="en-US" w:eastAsia="zh-CN" w:bidi="ar"/>
                    </w:rPr>
                  </m:ctrlPr>
                </m:sub>
              </m:sSub>
              <m:ctrlPr>
                <w:rPr>
                  <w:rFonts w:hint="eastAsia" w:ascii="Cambria Math" w:hAnsi="Cambria Math" w:eastAsia="仿宋_GB2312" w:cs="仿宋_GB2312"/>
                  <w:i/>
                  <w:color w:val="auto"/>
                  <w:kern w:val="2"/>
                  <w:sz w:val="22"/>
                  <w:szCs w:val="22"/>
                  <w:highlight w:val="none"/>
                  <w:lang w:val="en-US" w:bidi="ar-SA"/>
                </w:rPr>
              </m:ctrlPr>
            </m:num>
            <m:den>
              <m:sSub>
                <m:sSubPr>
                  <m:ctrlPr>
                    <w:rPr>
                      <w:rFonts w:hint="eastAsia" w:ascii="Cambria Math" w:hAnsi="Cambria Math" w:eastAsia="仿宋_GB2312" w:cs="仿宋_GB2312"/>
                      <w:i w:val="0"/>
                      <w:color w:val="auto"/>
                      <w:kern w:val="2"/>
                      <w:sz w:val="22"/>
                      <w:szCs w:val="22"/>
                      <w:highlight w:val="none"/>
                      <w:lang w:val="en-US" w:bidi="ar-SA"/>
                    </w:rPr>
                  </m:ctrlPr>
                </m:sSubPr>
                <m:e>
                  <m:r>
                    <m:rPr>
                      <m:sty m:val="p"/>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i w:val="0"/>
                      <w:color w:val="auto"/>
                      <w:kern w:val="2"/>
                      <w:sz w:val="22"/>
                      <w:szCs w:val="22"/>
                      <w:highlight w:val="none"/>
                      <w:lang w:val="en-US" w:bidi="ar-SA"/>
                    </w:rPr>
                  </m:ctrlPr>
                </m:e>
                <m:sub>
                  <m:r>
                    <m:rPr>
                      <m:sty m:val="p"/>
                    </m:rPr>
                    <w:rPr>
                      <w:rFonts w:hint="eastAsia" w:ascii="Cambria Math" w:hAnsi="Cambria Math" w:eastAsia="仿宋_GB2312" w:cs="仿宋_GB2312"/>
                      <w:color w:val="auto"/>
                      <w:kern w:val="2"/>
                      <w:sz w:val="22"/>
                      <w:szCs w:val="22"/>
                      <w:highlight w:val="none"/>
                      <w:lang w:val="en-US" w:eastAsia="zh-CN" w:bidi="ar-SA"/>
                    </w:rPr>
                    <m:t>基准线</m:t>
                  </m:r>
                  <m:ctrlPr>
                    <w:rPr>
                      <w:rFonts w:hint="eastAsia" w:ascii="Cambria Math" w:hAnsi="Cambria Math" w:eastAsia="仿宋_GB2312" w:cs="仿宋_GB2312"/>
                      <w:i w:val="0"/>
                      <w:color w:val="auto"/>
                      <w:kern w:val="2"/>
                      <w:sz w:val="22"/>
                      <w:szCs w:val="22"/>
                      <w:highlight w:val="none"/>
                      <w:lang w:val="en-US" w:bidi="ar-SA"/>
                    </w:rPr>
                  </m:ctrlPr>
                </m:sub>
              </m:sSub>
              <m:ctrlPr>
                <w:rPr>
                  <w:rFonts w:hint="eastAsia" w:ascii="Cambria Math" w:hAnsi="Cambria Math" w:eastAsia="仿宋_GB2312" w:cs="仿宋_GB2312"/>
                  <w:i/>
                  <w:color w:val="auto"/>
                  <w:kern w:val="2"/>
                  <w:sz w:val="22"/>
                  <w:szCs w:val="22"/>
                  <w:highlight w:val="none"/>
                  <w:lang w:val="en-US" w:bidi="ar-SA"/>
                </w:rPr>
              </m:ctrlPr>
            </m:den>
          </m:f>
        </m:oMath>
      </m:oMathPara>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_GB2312" w:hAnsi="仿宋_GB2312" w:eastAsia="仿宋_GB2312" w:cs="仿宋_GB2312"/>
          <w:color w:val="auto"/>
          <w:kern w:val="2"/>
          <w:sz w:val="22"/>
          <w:szCs w:val="22"/>
          <w:highlight w:val="none"/>
          <w:lang w:val="en-US" w:eastAsia="zh-CN" w:bidi="ar-SA"/>
        </w:rPr>
      </w:pPr>
      <m:oMath>
        <m:sSub>
          <m:sSubPr>
            <m:ctrlPr>
              <w:rPr>
                <w:rFonts w:hint="eastAsia" w:ascii="Cambria Math" w:hAnsi="Cambria Math" w:eastAsia="仿宋_GB2312" w:cs="仿宋_GB2312"/>
                <w:i w:val="0"/>
                <w:color w:val="000000"/>
                <w:kern w:val="0"/>
                <w:sz w:val="22"/>
                <w:szCs w:val="22"/>
                <w:lang w:val="en-US" w:eastAsia="zh-CN" w:bidi="ar"/>
              </w:rPr>
            </m:ctrlPr>
          </m:sSubPr>
          <m:e>
            <m:r>
              <m:rPr>
                <m:sty m:val="p"/>
              </m:rPr>
              <w:rPr>
                <w:rFonts w:hint="eastAsia" w:ascii="Cambria Math" w:hAnsi="Cambria Math" w:eastAsia="仿宋_GB2312" w:cs="仿宋_GB2312"/>
                <w:color w:val="000000"/>
                <w:kern w:val="0"/>
                <w:sz w:val="22"/>
                <w:szCs w:val="22"/>
                <w:lang w:val="en-US" w:eastAsia="zh-CN" w:bidi="ar"/>
              </w:rPr>
              <m:t>φ</m:t>
            </m:r>
            <m:ctrlPr>
              <w:rPr>
                <w:rFonts w:hint="eastAsia" w:ascii="Cambria Math" w:hAnsi="Cambria Math" w:eastAsia="仿宋_GB2312" w:cs="仿宋_GB2312"/>
                <w:i w:val="0"/>
                <w:color w:val="000000"/>
                <w:kern w:val="0"/>
                <w:sz w:val="22"/>
                <w:szCs w:val="22"/>
                <w:lang w:val="en-US" w:eastAsia="zh-CN" w:bidi="ar"/>
              </w:rPr>
            </m:ctrlPr>
          </m:e>
          <m:sub>
            <m:r>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i w:val="0"/>
                <w:color w:val="000000"/>
                <w:kern w:val="0"/>
                <w:sz w:val="22"/>
                <w:szCs w:val="22"/>
                <w:lang w:val="en-US" w:eastAsia="zh-CN" w:bidi="ar"/>
              </w:rPr>
            </m:ctrlPr>
          </m:sub>
        </m:sSub>
      </m:oMath>
      <w:r>
        <w:rPr>
          <w:rFonts w:hint="eastAsia" w:ascii="仿宋_GB2312" w:hAnsi="仿宋_GB2312" w:eastAsia="仿宋_GB2312" w:cs="仿宋_GB2312"/>
          <w:color w:val="auto"/>
          <w:kern w:val="2"/>
          <w:sz w:val="22"/>
          <w:szCs w:val="22"/>
          <w:highlight w:val="none"/>
          <w:lang w:val="en-US" w:eastAsia="zh-CN" w:bidi="ar-SA"/>
        </w:rPr>
        <w:t>——工厂第i年统计报告期相比基准期的碳削减率，单位为%；</w:t>
      </w:r>
    </w:p>
    <w:p>
      <w:pPr>
        <w:pStyle w:val="2"/>
        <w:keepNext w:val="0"/>
        <w:keepLines w:val="0"/>
        <w:pageBreakBefore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sz w:val="22"/>
          <w:szCs w:val="22"/>
          <w:lang w:val="en-US" w:eastAsia="zh-CN"/>
        </w:rPr>
      </w:pPr>
      <m:oMath>
        <m:r>
          <m:rPr>
            <m:sty m:val="p"/>
          </m:rPr>
          <w:rPr>
            <w:rFonts w:hint="eastAsia" w:ascii="Cambria Math" w:hAnsi="Cambria Math" w:eastAsia="仿宋_GB2312" w:cs="仿宋_GB2312"/>
            <w:color w:val="000000"/>
            <w:kern w:val="0"/>
            <w:sz w:val="22"/>
            <w:szCs w:val="22"/>
            <w:lang w:val="en-US" w:eastAsia="zh-CN" w:bidi="ar"/>
          </w:rPr>
          <m:t>∆</m:t>
        </m:r>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color w:val="000000"/>
                <w:kern w:val="0"/>
                <w:sz w:val="22"/>
                <w:szCs w:val="22"/>
                <w:lang w:val="en-US" w:eastAsia="zh-CN" w:bidi="ar"/>
              </w:rPr>
            </m:ctrlPr>
          </m:sub>
        </m:sSub>
      </m:oMath>
      <w:r>
        <w:rPr>
          <w:rFonts w:hint="eastAsia" w:ascii="仿宋_GB2312" w:hAnsi="仿宋_GB2312" w:eastAsia="仿宋_GB2312" w:cs="仿宋_GB2312"/>
          <w:color w:val="auto"/>
          <w:kern w:val="2"/>
          <w:sz w:val="22"/>
          <w:szCs w:val="22"/>
          <w:highlight w:val="none"/>
          <w:lang w:val="en-US" w:eastAsia="zh-CN" w:bidi="ar-SA"/>
        </w:rPr>
        <w:t>——工厂第i年统计报告期相比基准期的碳减排量，单位为吨二氧化碳；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_GB2312" w:hAnsi="仿宋_GB2312" w:eastAsia="仿宋_GB2312" w:cs="仿宋_GB2312"/>
          <w:color w:val="000000"/>
          <w:kern w:val="0"/>
          <w:sz w:val="22"/>
          <w:szCs w:val="22"/>
          <w:lang w:val="en-US" w:eastAsia="zh-CN" w:bidi="ar"/>
        </w:rPr>
      </w:pPr>
      <m:oMath>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i,offset</m:t>
            </m:r>
            <m:ctrlPr>
              <w:rPr>
                <w:rFonts w:hint="eastAsia" w:ascii="Cambria Math" w:hAnsi="Cambria Math" w:eastAsia="仿宋_GB2312" w:cs="仿宋_GB2312"/>
                <w:color w:val="000000"/>
                <w:kern w:val="0"/>
                <w:sz w:val="22"/>
                <w:szCs w:val="22"/>
                <w:lang w:val="en-US" w:eastAsia="zh-CN" w:bidi="ar"/>
              </w:rPr>
            </m:ctrlPr>
          </m:sub>
        </m:sSub>
      </m:oMath>
      <w:r>
        <w:rPr>
          <w:rFonts w:hint="eastAsia" w:ascii="仿宋_GB2312" w:hAnsi="仿宋_GB2312" w:eastAsia="仿宋_GB2312" w:cs="仿宋_GB2312"/>
          <w:color w:val="auto"/>
          <w:kern w:val="2"/>
          <w:sz w:val="22"/>
          <w:szCs w:val="22"/>
          <w:highlight w:val="none"/>
          <w:lang w:val="en-US" w:eastAsia="zh-CN" w:bidi="ar-SA"/>
        </w:rPr>
        <w:t>——工厂第i年统计报告期的碳抵消量，单位为吨二氧化碳；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_GB2312" w:hAnsi="仿宋_GB2312" w:eastAsia="仿宋_GB2312" w:cs="仿宋_GB2312"/>
          <w:sz w:val="22"/>
          <w:szCs w:val="22"/>
          <w:lang w:val="en-US"/>
        </w:rPr>
      </w:pPr>
      <m:oMath>
        <m:r>
          <m:rPr>
            <m:sty m:val="p"/>
          </m:rPr>
          <w:rPr>
            <w:rFonts w:hint="eastAsia" w:ascii="Cambria Math" w:hAnsi="Cambria Math" w:eastAsia="仿宋_GB2312" w:cs="仿宋_GB2312"/>
            <w:color w:val="000000"/>
            <w:kern w:val="0"/>
            <w:sz w:val="22"/>
            <w:szCs w:val="22"/>
            <w:lang w:val="en-US" w:eastAsia="zh-CN" w:bidi="ar"/>
          </w:rPr>
          <m:t>E</m:t>
        </m:r>
      </m:oMath>
      <w:r>
        <w:rPr>
          <w:rFonts w:hint="eastAsia" w:ascii="仿宋_GB2312" w:hAnsi="仿宋_GB2312" w:eastAsia="仿宋_GB2312" w:cs="仿宋_GB2312"/>
          <w:color w:val="000000"/>
          <w:kern w:val="0"/>
          <w:sz w:val="22"/>
          <w:szCs w:val="22"/>
          <w:vertAlign w:val="subscript"/>
          <w:lang w:val="en-US" w:eastAsia="zh-CN" w:bidi="ar"/>
        </w:rPr>
        <w:t>基准线</w:t>
      </w:r>
      <w:r>
        <w:rPr>
          <w:rFonts w:hint="eastAsia" w:ascii="仿宋_GB2312" w:hAnsi="仿宋_GB2312" w:eastAsia="仿宋_GB2312" w:cs="仿宋_GB2312"/>
          <w:color w:val="auto"/>
          <w:kern w:val="2"/>
          <w:sz w:val="22"/>
          <w:szCs w:val="22"/>
          <w:highlight w:val="none"/>
          <w:lang w:val="en-US" w:eastAsia="zh-CN" w:bidi="ar-SA"/>
        </w:rPr>
        <w:t>——工厂基准线碳排放量，单位为吨二氧化碳。</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碳减排量按下式计算：</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jc w:val="center"/>
        <w:textAlignment w:val="auto"/>
        <w:rPr>
          <w:rFonts w:hint="eastAsia" w:ascii="仿宋_GB2312" w:hAnsi="仿宋_GB2312" w:eastAsia="仿宋_GB2312" w:cs="仿宋_GB2312"/>
          <w:color w:val="000000"/>
          <w:kern w:val="0"/>
          <w:sz w:val="22"/>
          <w:szCs w:val="22"/>
          <w:vertAlign w:val="subscript"/>
          <w:lang w:val="en-US" w:eastAsia="zh-CN" w:bidi="ar"/>
        </w:rPr>
      </w:pPr>
      <m:oMath>
        <m:r>
          <m:rPr>
            <m:sty m:val="p"/>
          </m:rPr>
          <w:rPr>
            <w:rFonts w:hint="eastAsia" w:ascii="Cambria Math" w:hAnsi="Cambria Math" w:eastAsia="仿宋_GB2312" w:cs="仿宋_GB2312"/>
            <w:color w:val="000000"/>
            <w:kern w:val="0"/>
            <w:sz w:val="22"/>
            <w:szCs w:val="22"/>
            <w:lang w:val="en-US" w:eastAsia="zh-CN" w:bidi="ar"/>
          </w:rPr>
          <m:t>∆</m:t>
        </m:r>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color w:val="000000"/>
                <w:kern w:val="0"/>
                <w:sz w:val="22"/>
                <w:szCs w:val="22"/>
                <w:lang w:val="en-US" w:eastAsia="zh-CN" w:bidi="ar"/>
              </w:rPr>
            </m:ctrlPr>
          </m:sub>
        </m:sSub>
      </m:oMath>
      <w:r>
        <w:rPr>
          <w:rFonts w:hint="eastAsia" w:ascii="仿宋_GB2312" w:hAnsi="仿宋_GB2312" w:eastAsia="仿宋_GB2312" w:cs="仿宋_GB2312"/>
          <w:color w:val="000000"/>
          <w:kern w:val="0"/>
          <w:sz w:val="22"/>
          <w:szCs w:val="22"/>
          <w:vertAlign w:val="baseline"/>
          <w:lang w:val="en-US" w:eastAsia="zh-CN" w:bidi="ar"/>
        </w:rPr>
        <w:t>=</w:t>
      </w:r>
      <m:oMath>
        <m:r>
          <m:rPr>
            <m:sty m:val="p"/>
          </m:rPr>
          <w:rPr>
            <w:rFonts w:hint="eastAsia" w:ascii="Cambria Math" w:hAnsi="Cambria Math" w:eastAsia="仿宋_GB2312" w:cs="仿宋_GB2312"/>
            <w:color w:val="000000"/>
            <w:kern w:val="0"/>
            <w:sz w:val="22"/>
            <w:szCs w:val="22"/>
            <w:lang w:val="en-US" w:eastAsia="zh-CN" w:bidi="ar"/>
          </w:rPr>
          <m:t>E</m:t>
        </m:r>
      </m:oMath>
      <w:r>
        <w:rPr>
          <w:rFonts w:hint="eastAsia" w:ascii="仿宋_GB2312" w:hAnsi="仿宋_GB2312" w:eastAsia="仿宋_GB2312" w:cs="仿宋_GB2312"/>
          <w:color w:val="000000"/>
          <w:kern w:val="0"/>
          <w:sz w:val="22"/>
          <w:szCs w:val="22"/>
          <w:vertAlign w:val="subscript"/>
          <w:lang w:val="en-US" w:eastAsia="zh-CN" w:bidi="ar"/>
        </w:rPr>
        <w:t>基准线</w:t>
      </w:r>
      <w:r>
        <w:rPr>
          <w:rFonts w:hint="eastAsia" w:ascii="仿宋_GB2312" w:hAnsi="仿宋_GB2312" w:eastAsia="仿宋_GB2312" w:cs="仿宋_GB2312"/>
          <w:color w:val="000000"/>
          <w:kern w:val="0"/>
          <w:sz w:val="22"/>
          <w:szCs w:val="22"/>
          <w:vertAlign w:val="baseline"/>
          <w:lang w:val="en-US" w:eastAsia="zh-CN" w:bidi="ar"/>
        </w:rPr>
        <w:t>-</w:t>
      </w:r>
      <m:oMath>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color w:val="000000"/>
                <w:kern w:val="0"/>
                <w:sz w:val="22"/>
                <w:szCs w:val="22"/>
                <w:lang w:val="en-US" w:eastAsia="zh-CN" w:bidi="ar"/>
              </w:rPr>
            </m:ctrlPr>
          </m:sub>
        </m:sSub>
      </m:oMath>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m:oMath>
        <m:sSub>
          <m:sSubPr>
            <m:ctrlPr>
              <w:rPr>
                <w:rFonts w:hint="eastAsia" w:ascii="Cambria Math" w:hAnsi="Cambria Math" w:eastAsia="仿宋_GB2312" w:cs="仿宋_GB2312"/>
                <w:color w:val="000000"/>
                <w:kern w:val="0"/>
                <w:sz w:val="22"/>
                <w:szCs w:val="22"/>
                <w:lang w:val="en-US" w:eastAsia="zh-CN" w:bidi="ar"/>
              </w:rPr>
            </m:ctrlPr>
          </m:sSubPr>
          <m:e>
            <m:r>
              <m:rPr/>
              <w:rPr>
                <w:rFonts w:hint="eastAsia" w:ascii="Cambria Math" w:hAnsi="Cambria Math" w:eastAsia="仿宋_GB2312" w:cs="仿宋_GB2312"/>
                <w:color w:val="000000"/>
                <w:kern w:val="0"/>
                <w:sz w:val="22"/>
                <w:szCs w:val="22"/>
                <w:lang w:val="en-US" w:eastAsia="zh-CN" w:bidi="ar"/>
              </w:rPr>
              <m:t>E</m:t>
            </m:r>
            <m:ctrlPr>
              <w:rPr>
                <w:rFonts w:hint="eastAsia" w:ascii="Cambria Math" w:hAnsi="Cambria Math" w:eastAsia="仿宋_GB2312" w:cs="仿宋_GB2312"/>
                <w:color w:val="000000"/>
                <w:kern w:val="0"/>
                <w:sz w:val="22"/>
                <w:szCs w:val="22"/>
                <w:lang w:val="en-US" w:eastAsia="zh-CN" w:bidi="ar"/>
              </w:rPr>
            </m:ctrlPr>
          </m:e>
          <m:sub>
            <m:r>
              <m:rPr>
                <m:sty m:val="p"/>
              </m:rPr>
              <w:rPr>
                <w:rFonts w:hint="eastAsia" w:ascii="Cambria Math" w:hAnsi="Cambria Math" w:eastAsia="仿宋_GB2312" w:cs="仿宋_GB2312"/>
                <w:color w:val="000000"/>
                <w:kern w:val="0"/>
                <w:sz w:val="22"/>
                <w:szCs w:val="22"/>
                <w:vertAlign w:val="subscript"/>
                <w:lang w:val="en-US" w:eastAsia="zh-CN" w:bidi="ar"/>
              </w:rPr>
              <m:t>i</m:t>
            </m:r>
            <m:ctrlPr>
              <w:rPr>
                <w:rFonts w:hint="eastAsia" w:ascii="Cambria Math" w:hAnsi="Cambria Math" w:eastAsia="仿宋_GB2312" w:cs="仿宋_GB2312"/>
                <w:color w:val="000000"/>
                <w:kern w:val="0"/>
                <w:sz w:val="22"/>
                <w:szCs w:val="22"/>
                <w:lang w:val="en-US" w:eastAsia="zh-CN" w:bidi="ar"/>
              </w:rPr>
            </m:ctrlPr>
          </m:sub>
        </m:sSub>
      </m:oMath>
      <w:r>
        <w:rPr>
          <w:rFonts w:hint="eastAsia" w:ascii="仿宋_GB2312" w:hAnsi="仿宋_GB2312" w:eastAsia="仿宋_GB2312" w:cs="仿宋_GB2312"/>
          <w:color w:val="auto"/>
          <w:kern w:val="2"/>
          <w:sz w:val="22"/>
          <w:szCs w:val="22"/>
          <w:highlight w:val="none"/>
          <w:lang w:val="en-US" w:eastAsia="zh-CN" w:bidi="ar-SA"/>
        </w:rPr>
        <w:t>——工厂第i年统计报告期的实际碳排放量，单位为吨二氧化碳。</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基准线碳排放量采用历史强度法核算，按下式计算：</w:t>
      </w: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jc w:val="center"/>
        <w:textAlignment w:val="auto"/>
        <w:rPr>
          <w:rFonts w:hint="eastAsia" w:ascii="仿宋_GB2312" w:hAnsi="仿宋_GB2312" w:eastAsia="仿宋_GB2312" w:cs="仿宋_GB2312"/>
          <w:color w:val="auto"/>
          <w:kern w:val="2"/>
          <w:sz w:val="22"/>
          <w:szCs w:val="22"/>
          <w:highlight w:val="none"/>
          <w:lang w:val="en-US" w:eastAsia="zh-CN" w:bidi="ar-SA"/>
        </w:rPr>
      </w:pPr>
      <m:oMathPara>
        <m:oMath>
          <m:sSub>
            <m:sSubPr>
              <m:ctrlPr>
                <w:rPr>
                  <w:rFonts w:hint="eastAsia" w:ascii="Cambria Math" w:hAnsi="Cambria Math" w:eastAsia="仿宋_GB2312" w:cs="仿宋_GB2312"/>
                  <w:i w:val="0"/>
                  <w:color w:val="000000"/>
                  <w:kern w:val="0"/>
                  <w:sz w:val="22"/>
                  <w:szCs w:val="22"/>
                  <w:vertAlign w:val="baseline"/>
                  <w:lang w:val="en-US" w:eastAsia="zh-CN" w:bidi="ar"/>
                </w:rPr>
              </m:ctrlPr>
            </m:sSubPr>
            <m:e>
              <m:r>
                <m:rPr/>
                <w:rPr>
                  <w:rFonts w:hint="eastAsia" w:ascii="Cambria Math" w:hAnsi="Cambria Math" w:eastAsia="仿宋_GB2312" w:cs="仿宋_GB2312"/>
                  <w:color w:val="000000"/>
                  <w:kern w:val="0"/>
                  <w:sz w:val="22"/>
                  <w:szCs w:val="22"/>
                  <w:vertAlign w:val="baseline"/>
                  <w:lang w:val="en-US" w:eastAsia="zh-CN" w:bidi="ar"/>
                </w:rPr>
                <m:t>E</m:t>
              </m:r>
              <m:ctrlPr>
                <w:rPr>
                  <w:rFonts w:hint="eastAsia" w:ascii="Cambria Math" w:hAnsi="Cambria Math" w:eastAsia="仿宋_GB2312" w:cs="仿宋_GB2312"/>
                  <w:i w:val="0"/>
                  <w:color w:val="000000"/>
                  <w:kern w:val="0"/>
                  <w:sz w:val="22"/>
                  <w:szCs w:val="22"/>
                  <w:vertAlign w:val="baseline"/>
                  <w:lang w:val="en-US" w:eastAsia="zh-CN" w:bidi="ar"/>
                </w:rPr>
              </m:ctrlPr>
            </m:e>
            <m:sub>
              <m:r>
                <m:rPr>
                  <m:sty m:val="p"/>
                </m:rPr>
                <w:rPr>
                  <w:rFonts w:hint="eastAsia" w:ascii="Cambria Math" w:hAnsi="Cambria Math" w:eastAsia="仿宋_GB2312" w:cs="仿宋_GB2312"/>
                  <w:color w:val="000000"/>
                  <w:kern w:val="0"/>
                  <w:sz w:val="22"/>
                  <w:szCs w:val="22"/>
                  <w:vertAlign w:val="baseline"/>
                  <w:lang w:val="en-US" w:eastAsia="zh-CN" w:bidi="ar"/>
                </w:rPr>
                <m:t>基准线</m:t>
              </m:r>
              <m:ctrlPr>
                <w:rPr>
                  <w:rFonts w:hint="eastAsia" w:ascii="Cambria Math" w:hAnsi="Cambria Math" w:eastAsia="仿宋_GB2312" w:cs="仿宋_GB2312"/>
                  <w:i w:val="0"/>
                  <w:color w:val="000000"/>
                  <w:kern w:val="0"/>
                  <w:sz w:val="22"/>
                  <w:szCs w:val="22"/>
                  <w:vertAlign w:val="baseline"/>
                  <w:lang w:val="en-US" w:eastAsia="zh-CN" w:bidi="ar"/>
                </w:rPr>
              </m:ctrlPr>
            </m:sub>
          </m:sSub>
          <m:r>
            <m:rPr>
              <m:sty m:val="p"/>
            </m:rPr>
            <w:rPr>
              <w:rFonts w:hint="eastAsia" w:ascii="Cambria Math" w:hAnsi="Cambria Math" w:eastAsia="仿宋_GB2312" w:cs="仿宋_GB2312"/>
              <w:color w:val="000000"/>
              <w:kern w:val="0"/>
              <w:sz w:val="22"/>
              <w:szCs w:val="22"/>
              <w:vertAlign w:val="baseline"/>
              <w:lang w:val="en-US" w:eastAsia="zh-CN" w:bidi="ar"/>
            </w:rPr>
            <m:t>=</m:t>
          </m:r>
          <m:f>
            <m:fPr>
              <m:ctrlPr>
                <w:rPr>
                  <w:rFonts w:hint="eastAsia" w:ascii="Cambria Math" w:hAnsi="Cambria Math" w:eastAsia="仿宋_GB2312" w:cs="仿宋_GB2312"/>
                  <w:i/>
                  <w:color w:val="000000"/>
                  <w:kern w:val="0"/>
                  <w:sz w:val="22"/>
                  <w:szCs w:val="22"/>
                  <w:vertAlign w:val="baseline"/>
                  <w:lang w:val="en-US" w:bidi="ar"/>
                </w:rPr>
              </m:ctrlPr>
            </m:fPr>
            <m:num>
              <m:sSub>
                <m:sSubPr>
                  <m:ctrlPr>
                    <w:rPr>
                      <w:rFonts w:hint="eastAsia" w:ascii="Cambria Math" w:hAnsi="Cambria Math" w:eastAsia="仿宋_GB2312" w:cs="仿宋_GB2312"/>
                      <w:i/>
                      <w:color w:val="000000"/>
                      <w:kern w:val="0"/>
                      <w:sz w:val="22"/>
                      <w:szCs w:val="22"/>
                      <w:vertAlign w:val="baseline"/>
                      <w:lang w:val="en-US" w:eastAsia="zh-CN" w:bidi="ar"/>
                    </w:rPr>
                  </m:ctrlPr>
                </m:sSubPr>
                <m:e>
                  <m:r>
                    <m:rPr/>
                    <w:rPr>
                      <w:rFonts w:hint="eastAsia" w:ascii="Cambria Math" w:hAnsi="Cambria Math" w:eastAsia="仿宋_GB2312" w:cs="仿宋_GB2312"/>
                      <w:color w:val="000000"/>
                      <w:kern w:val="0"/>
                      <w:sz w:val="22"/>
                      <w:szCs w:val="22"/>
                      <w:vertAlign w:val="baseline"/>
                      <w:lang w:val="en-US" w:eastAsia="zh-CN" w:bidi="ar"/>
                    </w:rPr>
                    <m:t>E</m:t>
                  </m:r>
                  <m:ctrlPr>
                    <w:rPr>
                      <w:rFonts w:hint="eastAsia" w:ascii="Cambria Math" w:hAnsi="Cambria Math" w:eastAsia="仿宋_GB2312" w:cs="仿宋_GB2312"/>
                      <w:i/>
                      <w:color w:val="000000"/>
                      <w:kern w:val="0"/>
                      <w:sz w:val="22"/>
                      <w:szCs w:val="22"/>
                      <w:vertAlign w:val="baseline"/>
                      <w:lang w:val="en-US" w:eastAsia="zh-CN" w:bidi="ar"/>
                    </w:rPr>
                  </m:ctrlPr>
                </m:e>
                <m:sub>
                  <m:r>
                    <m:rPr/>
                    <w:rPr>
                      <w:rFonts w:hint="eastAsia" w:ascii="Cambria Math" w:hAnsi="Cambria Math" w:eastAsia="仿宋_GB2312" w:cs="仿宋_GB2312"/>
                      <w:color w:val="000000"/>
                      <w:kern w:val="0"/>
                      <w:sz w:val="22"/>
                      <w:szCs w:val="22"/>
                      <w:vertAlign w:val="baseline"/>
                      <w:lang w:val="en-US" w:eastAsia="zh-CN" w:bidi="ar"/>
                    </w:rPr>
                    <m:t>0</m:t>
                  </m:r>
                  <m:ctrlPr>
                    <w:rPr>
                      <w:rFonts w:hint="eastAsia" w:ascii="Cambria Math" w:hAnsi="Cambria Math" w:eastAsia="仿宋_GB2312" w:cs="仿宋_GB2312"/>
                      <w:i/>
                      <w:color w:val="000000"/>
                      <w:kern w:val="0"/>
                      <w:sz w:val="22"/>
                      <w:szCs w:val="22"/>
                      <w:vertAlign w:val="baseline"/>
                      <w:lang w:val="en-US" w:eastAsia="zh-CN" w:bidi="ar"/>
                    </w:rPr>
                  </m:ctrlPr>
                </m:sub>
              </m:sSub>
              <m:ctrlPr>
                <w:rPr>
                  <w:rFonts w:hint="eastAsia" w:ascii="Cambria Math" w:hAnsi="Cambria Math" w:eastAsia="仿宋_GB2312" w:cs="仿宋_GB2312"/>
                  <w:i/>
                  <w:color w:val="000000"/>
                  <w:kern w:val="0"/>
                  <w:sz w:val="22"/>
                  <w:szCs w:val="22"/>
                  <w:vertAlign w:val="baseline"/>
                  <w:lang w:val="en-US" w:bidi="ar"/>
                </w:rPr>
              </m:ctrlPr>
            </m:num>
            <m:den>
              <m:sSub>
                <m:sSubPr>
                  <m:ctrlPr>
                    <w:rPr>
                      <w:rFonts w:hint="eastAsia" w:ascii="Cambria Math" w:hAnsi="Cambria Math" w:eastAsia="仿宋_GB2312" w:cs="仿宋_GB2312"/>
                      <w:i/>
                      <w:color w:val="000000"/>
                      <w:kern w:val="0"/>
                      <w:sz w:val="22"/>
                      <w:szCs w:val="22"/>
                      <w:vertAlign w:val="baseline"/>
                      <w:lang w:val="en-US" w:bidi="ar"/>
                    </w:rPr>
                  </m:ctrlPr>
                </m:sSubPr>
                <m:e>
                  <m:r>
                    <m:rPr/>
                    <w:rPr>
                      <w:rFonts w:hint="eastAsia" w:ascii="Cambria Math" w:hAnsi="Cambria Math" w:eastAsia="仿宋_GB2312" w:cs="仿宋_GB2312"/>
                      <w:color w:val="000000"/>
                      <w:kern w:val="0"/>
                      <w:sz w:val="22"/>
                      <w:szCs w:val="22"/>
                      <w:vertAlign w:val="baseline"/>
                      <w:lang w:val="en-US" w:eastAsia="zh-CN" w:bidi="ar"/>
                    </w:rPr>
                    <m:t>P</m:t>
                  </m:r>
                  <m:ctrlPr>
                    <w:rPr>
                      <w:rFonts w:hint="eastAsia" w:ascii="Cambria Math" w:hAnsi="Cambria Math" w:eastAsia="仿宋_GB2312" w:cs="仿宋_GB2312"/>
                      <w:i/>
                      <w:color w:val="000000"/>
                      <w:kern w:val="0"/>
                      <w:sz w:val="22"/>
                      <w:szCs w:val="22"/>
                      <w:vertAlign w:val="baseline"/>
                      <w:lang w:val="en-US" w:bidi="ar"/>
                    </w:rPr>
                  </m:ctrlPr>
                </m:e>
                <m:sub>
                  <m:r>
                    <m:rPr/>
                    <w:rPr>
                      <w:rFonts w:hint="eastAsia" w:ascii="Cambria Math" w:hAnsi="Cambria Math" w:eastAsia="仿宋_GB2312" w:cs="仿宋_GB2312"/>
                      <w:color w:val="000000"/>
                      <w:kern w:val="0"/>
                      <w:sz w:val="22"/>
                      <w:szCs w:val="22"/>
                      <w:vertAlign w:val="baseline"/>
                      <w:lang w:val="en-US" w:eastAsia="zh-CN" w:bidi="ar"/>
                    </w:rPr>
                    <m:t>0</m:t>
                  </m:r>
                  <m:ctrlPr>
                    <w:rPr>
                      <w:rFonts w:hint="eastAsia" w:ascii="Cambria Math" w:hAnsi="Cambria Math" w:eastAsia="仿宋_GB2312" w:cs="仿宋_GB2312"/>
                      <w:i/>
                      <w:color w:val="000000"/>
                      <w:kern w:val="0"/>
                      <w:sz w:val="22"/>
                      <w:szCs w:val="22"/>
                      <w:vertAlign w:val="baseline"/>
                      <w:lang w:val="en-US" w:bidi="ar"/>
                    </w:rPr>
                  </m:ctrlPr>
                </m:sub>
              </m:sSub>
              <m:ctrlPr>
                <w:rPr>
                  <w:rFonts w:hint="eastAsia" w:ascii="Cambria Math" w:hAnsi="Cambria Math" w:eastAsia="仿宋_GB2312" w:cs="仿宋_GB2312"/>
                  <w:i/>
                  <w:color w:val="000000"/>
                  <w:kern w:val="0"/>
                  <w:sz w:val="22"/>
                  <w:szCs w:val="22"/>
                  <w:vertAlign w:val="baseline"/>
                  <w:lang w:val="en-US" w:bidi="ar"/>
                </w:rPr>
              </m:ctrlPr>
            </m:den>
          </m:f>
          <m:r>
            <m:rPr/>
            <w:rPr>
              <w:rFonts w:hint="eastAsia" w:ascii="Cambria Math" w:hAnsi="Cambria Math" w:eastAsia="仿宋_GB2312" w:cs="仿宋_GB2312"/>
              <w:color w:val="000000"/>
              <w:kern w:val="0"/>
              <w:sz w:val="22"/>
              <w:szCs w:val="22"/>
              <w:vertAlign w:val="baseline"/>
              <w:lang w:val="en-US" w:eastAsia="zh-CN" w:bidi="ar"/>
            </w:rPr>
            <m:t>×</m:t>
          </m:r>
          <m:sSub>
            <m:sSubPr>
              <m:ctrlPr>
                <w:rPr>
                  <w:rFonts w:hint="eastAsia" w:ascii="Cambria Math" w:hAnsi="Cambria Math" w:eastAsia="仿宋_GB2312" w:cs="仿宋_GB2312"/>
                  <w:i/>
                  <w:color w:val="000000"/>
                  <w:kern w:val="0"/>
                  <w:sz w:val="22"/>
                  <w:szCs w:val="22"/>
                  <w:vertAlign w:val="baseline"/>
                  <w:lang w:val="en-US" w:eastAsia="zh-CN" w:bidi="ar"/>
                </w:rPr>
              </m:ctrlPr>
            </m:sSubPr>
            <m:e>
              <m:r>
                <m:rPr/>
                <w:rPr>
                  <w:rFonts w:hint="eastAsia" w:ascii="Cambria Math" w:hAnsi="Cambria Math" w:eastAsia="仿宋_GB2312" w:cs="仿宋_GB2312"/>
                  <w:color w:val="000000"/>
                  <w:kern w:val="0"/>
                  <w:sz w:val="22"/>
                  <w:szCs w:val="22"/>
                  <w:vertAlign w:val="baseline"/>
                  <w:lang w:val="en-US" w:eastAsia="zh-CN" w:bidi="ar"/>
                </w:rPr>
                <m:t>P</m:t>
              </m:r>
              <m:ctrlPr>
                <w:rPr>
                  <w:rFonts w:hint="eastAsia" w:ascii="Cambria Math" w:hAnsi="Cambria Math" w:eastAsia="仿宋_GB2312" w:cs="仿宋_GB2312"/>
                  <w:i/>
                  <w:color w:val="000000"/>
                  <w:kern w:val="0"/>
                  <w:sz w:val="22"/>
                  <w:szCs w:val="22"/>
                  <w:vertAlign w:val="baseline"/>
                  <w:lang w:val="en-US" w:eastAsia="zh-CN" w:bidi="ar"/>
                </w:rPr>
              </m:ctrlPr>
            </m:e>
            <m:sub>
              <m:r>
                <m:rPr/>
                <w:rPr>
                  <w:rFonts w:hint="eastAsia" w:ascii="Cambria Math" w:hAnsi="Cambria Math" w:eastAsia="仿宋_GB2312" w:cs="仿宋_GB2312"/>
                  <w:color w:val="000000"/>
                  <w:kern w:val="0"/>
                  <w:sz w:val="22"/>
                  <w:szCs w:val="22"/>
                  <w:vertAlign w:val="baseline"/>
                  <w:lang w:val="en-US" w:eastAsia="zh-CN" w:bidi="ar"/>
                </w:rPr>
                <m:t>i</m:t>
              </m:r>
              <m:ctrlPr>
                <w:rPr>
                  <w:rFonts w:hint="eastAsia" w:ascii="Cambria Math" w:hAnsi="Cambria Math" w:eastAsia="仿宋_GB2312" w:cs="仿宋_GB2312"/>
                  <w:i/>
                  <w:color w:val="000000"/>
                  <w:kern w:val="0"/>
                  <w:sz w:val="22"/>
                  <w:szCs w:val="22"/>
                  <w:vertAlign w:val="baseline"/>
                  <w:lang w:val="en-US" w:eastAsia="zh-CN" w:bidi="ar"/>
                </w:rPr>
              </m:ctrlPr>
            </m:sub>
          </m:sSub>
        </m:oMath>
      </m:oMathPara>
    </w:p>
    <w:p>
      <w:pPr>
        <w:pStyle w:val="2"/>
        <w:keepNext w:val="0"/>
        <w:keepLines w:val="0"/>
        <w:pageBreakBefore w:val="0"/>
        <w:widowControl w:val="0"/>
        <w:numPr>
          <w:ilvl w:val="0"/>
          <w:numId w:val="0"/>
        </w:numPr>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color w:val="auto"/>
          <w:kern w:val="2"/>
          <w:sz w:val="22"/>
          <w:szCs w:val="22"/>
          <w:highlight w:val="none"/>
          <w:lang w:val="en-US" w:eastAsia="zh-CN" w:bidi="ar-SA"/>
        </w:rPr>
      </w:pPr>
      <w:r>
        <w:rPr>
          <w:rFonts w:hint="eastAsia" w:ascii="仿宋_GB2312" w:hAnsi="仿宋_GB2312" w:eastAsia="仿宋_GB2312" w:cs="仿宋_GB2312"/>
          <w:color w:val="auto"/>
          <w:kern w:val="2"/>
          <w:sz w:val="22"/>
          <w:szCs w:val="22"/>
          <w:highlight w:val="none"/>
          <w:lang w:val="en-US" w:eastAsia="zh-CN" w:bidi="ar-SA"/>
        </w:rPr>
        <w:t>式中：</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_GB2312" w:hAnsi="仿宋_GB2312" w:eastAsia="仿宋_GB2312" w:cs="仿宋_GB2312"/>
          <w:color w:val="auto"/>
          <w:kern w:val="2"/>
          <w:sz w:val="22"/>
          <w:szCs w:val="22"/>
          <w:highlight w:val="none"/>
          <w:lang w:val="en-US" w:eastAsia="zh-CN" w:bidi="ar-SA"/>
        </w:rPr>
      </w:pPr>
      <m:oMath>
        <m:sSub>
          <m:sSubPr>
            <m:ctrlPr>
              <w:rPr>
                <w:rFonts w:hint="eastAsia" w:ascii="Cambria Math" w:hAnsi="Cambria Math" w:eastAsia="仿宋_GB2312" w:cs="仿宋_GB2312"/>
                <w:i/>
                <w:color w:val="000000"/>
                <w:kern w:val="0"/>
                <w:sz w:val="22"/>
                <w:szCs w:val="22"/>
                <w:vertAlign w:val="baseline"/>
                <w:lang w:val="en-US" w:eastAsia="zh-CN" w:bidi="ar"/>
              </w:rPr>
            </m:ctrlPr>
          </m:sSubPr>
          <m:e>
            <m:r>
              <m:rPr/>
              <w:rPr>
                <w:rFonts w:hint="eastAsia" w:ascii="Cambria Math" w:hAnsi="Cambria Math" w:eastAsia="仿宋_GB2312" w:cs="仿宋_GB2312"/>
                <w:color w:val="000000"/>
                <w:kern w:val="0"/>
                <w:sz w:val="22"/>
                <w:szCs w:val="22"/>
                <w:vertAlign w:val="baseline"/>
                <w:lang w:val="en-US" w:eastAsia="zh-CN" w:bidi="ar"/>
              </w:rPr>
              <m:t>E</m:t>
            </m:r>
            <m:ctrlPr>
              <w:rPr>
                <w:rFonts w:hint="eastAsia" w:ascii="Cambria Math" w:hAnsi="Cambria Math" w:eastAsia="仿宋_GB2312" w:cs="仿宋_GB2312"/>
                <w:i/>
                <w:color w:val="000000"/>
                <w:kern w:val="0"/>
                <w:sz w:val="22"/>
                <w:szCs w:val="22"/>
                <w:vertAlign w:val="baseline"/>
                <w:lang w:val="en-US" w:eastAsia="zh-CN" w:bidi="ar"/>
              </w:rPr>
            </m:ctrlPr>
          </m:e>
          <m:sub>
            <m:r>
              <m:rPr/>
              <w:rPr>
                <w:rFonts w:hint="eastAsia" w:ascii="Cambria Math" w:hAnsi="Cambria Math" w:eastAsia="仿宋_GB2312" w:cs="仿宋_GB2312"/>
                <w:color w:val="000000"/>
                <w:kern w:val="0"/>
                <w:sz w:val="22"/>
                <w:szCs w:val="22"/>
                <w:vertAlign w:val="baseline"/>
                <w:lang w:val="en-US" w:eastAsia="zh-CN" w:bidi="ar"/>
              </w:rPr>
              <m:t>0</m:t>
            </m:r>
            <m:ctrlPr>
              <w:rPr>
                <w:rFonts w:hint="eastAsia" w:ascii="Cambria Math" w:hAnsi="Cambria Math" w:eastAsia="仿宋_GB2312" w:cs="仿宋_GB2312"/>
                <w:i/>
                <w:color w:val="000000"/>
                <w:kern w:val="0"/>
                <w:sz w:val="22"/>
                <w:szCs w:val="22"/>
                <w:vertAlign w:val="baseline"/>
                <w:lang w:val="en-US" w:eastAsia="zh-CN" w:bidi="ar"/>
              </w:rPr>
            </m:ctrlPr>
          </m:sub>
        </m:sSub>
      </m:oMath>
      <w:r>
        <w:rPr>
          <w:rFonts w:hint="eastAsia" w:ascii="仿宋_GB2312" w:hAnsi="仿宋_GB2312" w:eastAsia="仿宋_GB2312" w:cs="仿宋_GB2312"/>
          <w:color w:val="auto"/>
          <w:kern w:val="2"/>
          <w:sz w:val="22"/>
          <w:szCs w:val="22"/>
          <w:highlight w:val="none"/>
          <w:lang w:val="en-US" w:eastAsia="zh-CN" w:bidi="ar-SA"/>
        </w:rPr>
        <w:t>——工厂基准期的实际碳排放量，单位为吨二氧化碳；</w:t>
      </w:r>
    </w:p>
    <w:p>
      <w:pPr>
        <w:keepNext w:val="0"/>
        <w:keepLines w:val="0"/>
        <w:pageBreakBefore w:val="0"/>
        <w:widowControl/>
        <w:suppressLineNumbers w:val="0"/>
        <w:kinsoku/>
        <w:wordWrap/>
        <w:overflowPunct/>
        <w:topLinePunct w:val="0"/>
        <w:autoSpaceDE/>
        <w:autoSpaceDN/>
        <w:bidi w:val="0"/>
        <w:adjustRightInd w:val="0"/>
        <w:snapToGrid w:val="0"/>
        <w:spacing w:line="400" w:lineRule="exact"/>
        <w:ind w:firstLine="440" w:firstLineChars="200"/>
        <w:jc w:val="left"/>
        <w:textAlignment w:val="auto"/>
        <w:rPr>
          <w:rFonts w:hint="eastAsia" w:ascii="仿宋_GB2312" w:hAnsi="仿宋_GB2312" w:eastAsia="仿宋_GB2312" w:cs="仿宋_GB2312"/>
          <w:color w:val="auto"/>
          <w:kern w:val="2"/>
          <w:sz w:val="22"/>
          <w:szCs w:val="22"/>
          <w:highlight w:val="none"/>
          <w:lang w:val="en-US" w:eastAsia="zh-CN" w:bidi="ar-SA"/>
        </w:rPr>
      </w:pPr>
      <m:oMath>
        <m:sSub>
          <m:sSubPr>
            <m:ctrlPr>
              <w:rPr>
                <w:rFonts w:hint="eastAsia" w:ascii="Cambria Math" w:hAnsi="Cambria Math" w:eastAsia="仿宋_GB2312" w:cs="仿宋_GB2312"/>
                <w:i/>
                <w:color w:val="000000"/>
                <w:kern w:val="0"/>
                <w:sz w:val="22"/>
                <w:szCs w:val="22"/>
                <w:vertAlign w:val="baseline"/>
                <w:lang w:val="en-US" w:bidi="ar"/>
              </w:rPr>
            </m:ctrlPr>
          </m:sSubPr>
          <m:e>
            <m:r>
              <m:rPr/>
              <w:rPr>
                <w:rFonts w:hint="eastAsia" w:ascii="Cambria Math" w:hAnsi="Cambria Math" w:eastAsia="仿宋_GB2312" w:cs="仿宋_GB2312"/>
                <w:color w:val="000000"/>
                <w:kern w:val="0"/>
                <w:sz w:val="22"/>
                <w:szCs w:val="22"/>
                <w:vertAlign w:val="baseline"/>
                <w:lang w:val="en-US" w:eastAsia="zh-CN" w:bidi="ar"/>
              </w:rPr>
              <m:t>P</m:t>
            </m:r>
            <m:ctrlPr>
              <w:rPr>
                <w:rFonts w:hint="eastAsia" w:ascii="Cambria Math" w:hAnsi="Cambria Math" w:eastAsia="仿宋_GB2312" w:cs="仿宋_GB2312"/>
                <w:i/>
                <w:color w:val="000000"/>
                <w:kern w:val="0"/>
                <w:sz w:val="22"/>
                <w:szCs w:val="22"/>
                <w:vertAlign w:val="baseline"/>
                <w:lang w:val="en-US" w:bidi="ar"/>
              </w:rPr>
            </m:ctrlPr>
          </m:e>
          <m:sub>
            <m:r>
              <m:rPr/>
              <w:rPr>
                <w:rFonts w:hint="eastAsia" w:ascii="Cambria Math" w:hAnsi="Cambria Math" w:eastAsia="仿宋_GB2312" w:cs="仿宋_GB2312"/>
                <w:color w:val="000000"/>
                <w:kern w:val="0"/>
                <w:sz w:val="22"/>
                <w:szCs w:val="22"/>
                <w:vertAlign w:val="baseline"/>
                <w:lang w:val="en-US" w:eastAsia="zh-CN" w:bidi="ar"/>
              </w:rPr>
              <m:t>0</m:t>
            </m:r>
            <m:ctrlPr>
              <w:rPr>
                <w:rFonts w:hint="eastAsia" w:ascii="Cambria Math" w:hAnsi="Cambria Math" w:eastAsia="仿宋_GB2312" w:cs="仿宋_GB2312"/>
                <w:i/>
                <w:color w:val="000000"/>
                <w:kern w:val="0"/>
                <w:sz w:val="22"/>
                <w:szCs w:val="22"/>
                <w:vertAlign w:val="baseline"/>
                <w:lang w:val="en-US" w:bidi="ar"/>
              </w:rPr>
            </m:ctrlPr>
          </m:sub>
        </m:sSub>
      </m:oMath>
      <w:r>
        <w:rPr>
          <w:rFonts w:hint="eastAsia" w:ascii="仿宋_GB2312" w:hAnsi="仿宋_GB2312" w:eastAsia="仿宋_GB2312" w:cs="仿宋_GB2312"/>
          <w:color w:val="auto"/>
          <w:kern w:val="2"/>
          <w:sz w:val="22"/>
          <w:szCs w:val="22"/>
          <w:highlight w:val="none"/>
          <w:lang w:val="en-US" w:eastAsia="zh-CN" w:bidi="ar-SA"/>
        </w:rPr>
        <w:t>——工厂基准期的产品产量或工业增加值，单位为吨（t）或万元；</w:t>
      </w:r>
    </w:p>
    <w:p>
      <w:pPr>
        <w:pStyle w:val="2"/>
        <w:keepNext w:val="0"/>
        <w:keepLines w:val="0"/>
        <w:pageBreakBefore w:val="0"/>
        <w:kinsoku/>
        <w:wordWrap/>
        <w:overflowPunct/>
        <w:topLinePunct w:val="0"/>
        <w:autoSpaceDE/>
        <w:autoSpaceDN/>
        <w:bidi w:val="0"/>
        <w:adjustRightInd w:val="0"/>
        <w:snapToGrid w:val="0"/>
        <w:spacing w:after="0" w:line="400" w:lineRule="exact"/>
        <w:ind w:firstLine="440" w:firstLineChars="200"/>
        <w:textAlignment w:val="auto"/>
        <w:rPr>
          <w:rFonts w:hint="eastAsia" w:ascii="仿宋_GB2312" w:hAnsi="仿宋_GB2312" w:eastAsia="仿宋_GB2312" w:cs="仿宋_GB2312"/>
          <w:i/>
          <w:iCs/>
          <w:color w:val="000000"/>
          <w:kern w:val="0"/>
          <w:sz w:val="22"/>
          <w:szCs w:val="22"/>
          <w:lang w:val="en-US" w:eastAsia="zh-CN" w:bidi="ar"/>
        </w:rPr>
      </w:pPr>
      <m:oMath>
        <m:sSub>
          <m:sSubPr>
            <m:ctrlPr>
              <w:rPr>
                <w:rFonts w:hint="eastAsia" w:ascii="Cambria Math" w:hAnsi="Cambria Math" w:eastAsia="仿宋_GB2312" w:cs="仿宋_GB2312"/>
                <w:i/>
                <w:color w:val="000000"/>
                <w:kern w:val="0"/>
                <w:sz w:val="22"/>
                <w:szCs w:val="22"/>
                <w:vertAlign w:val="baseline"/>
                <w:lang w:val="en-US" w:eastAsia="zh-CN" w:bidi="ar"/>
              </w:rPr>
            </m:ctrlPr>
          </m:sSubPr>
          <m:e>
            <m:r>
              <m:rPr/>
              <w:rPr>
                <w:rFonts w:hint="eastAsia" w:ascii="Cambria Math" w:hAnsi="Cambria Math" w:eastAsia="仿宋_GB2312" w:cs="仿宋_GB2312"/>
                <w:color w:val="000000"/>
                <w:kern w:val="0"/>
                <w:sz w:val="22"/>
                <w:szCs w:val="22"/>
                <w:vertAlign w:val="baseline"/>
                <w:lang w:val="en-US" w:eastAsia="zh-CN" w:bidi="ar"/>
              </w:rPr>
              <m:t>P</m:t>
            </m:r>
            <m:ctrlPr>
              <w:rPr>
                <w:rFonts w:hint="eastAsia" w:ascii="Cambria Math" w:hAnsi="Cambria Math" w:eastAsia="仿宋_GB2312" w:cs="仿宋_GB2312"/>
                <w:i/>
                <w:color w:val="000000"/>
                <w:kern w:val="0"/>
                <w:sz w:val="22"/>
                <w:szCs w:val="22"/>
                <w:vertAlign w:val="baseline"/>
                <w:lang w:val="en-US" w:eastAsia="zh-CN" w:bidi="ar"/>
              </w:rPr>
            </m:ctrlPr>
          </m:e>
          <m:sub>
            <m:r>
              <m:rPr/>
              <w:rPr>
                <w:rFonts w:hint="eastAsia" w:ascii="Cambria Math" w:hAnsi="Cambria Math" w:eastAsia="仿宋_GB2312" w:cs="仿宋_GB2312"/>
                <w:color w:val="000000"/>
                <w:kern w:val="0"/>
                <w:sz w:val="22"/>
                <w:szCs w:val="22"/>
                <w:vertAlign w:val="baseline"/>
                <w:lang w:val="en-US" w:eastAsia="zh-CN" w:bidi="ar"/>
              </w:rPr>
              <m:t>i</m:t>
            </m:r>
            <m:ctrlPr>
              <w:rPr>
                <w:rFonts w:hint="eastAsia" w:ascii="Cambria Math" w:hAnsi="Cambria Math" w:eastAsia="仿宋_GB2312" w:cs="仿宋_GB2312"/>
                <w:i/>
                <w:color w:val="000000"/>
                <w:kern w:val="0"/>
                <w:sz w:val="22"/>
                <w:szCs w:val="22"/>
                <w:vertAlign w:val="baseline"/>
                <w:lang w:val="en-US" w:eastAsia="zh-CN" w:bidi="ar"/>
              </w:rPr>
            </m:ctrlPr>
          </m:sub>
        </m:sSub>
      </m:oMath>
      <w:r>
        <w:rPr>
          <w:rFonts w:hint="eastAsia" w:ascii="仿宋_GB2312" w:hAnsi="仿宋_GB2312" w:eastAsia="仿宋_GB2312" w:cs="仿宋_GB2312"/>
          <w:color w:val="auto"/>
          <w:kern w:val="2"/>
          <w:sz w:val="22"/>
          <w:szCs w:val="22"/>
          <w:highlight w:val="none"/>
          <w:lang w:val="en-US" w:eastAsia="zh-CN" w:bidi="ar-SA"/>
        </w:rPr>
        <w:t>——工厂第i年统计报告期的产品产量或工业增加值，单位为吨（t）或万元。</w:t>
      </w:r>
    </w:p>
    <w:p>
      <w:pPr>
        <w:pStyle w:val="2"/>
        <w:rPr>
          <w:rFonts w:hint="eastAsia"/>
          <w:lang w:val="en-US" w:eastAsia="zh-CN"/>
        </w:rPr>
      </w:pPr>
    </w:p>
    <w:p/>
    <w:sectPr>
      <w:pgSz w:w="11906" w:h="16838"/>
      <w:pgMar w:top="1871" w:right="1531" w:bottom="170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简体">
    <w:altName w:val="方正仿宋_GBK"/>
    <w:panose1 w:val="02010601030101010101"/>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Cambria Math">
    <w:altName w:val="DejaVu Math TeX Gyre"/>
    <w:panose1 w:val="02040503050406030204"/>
    <w:charset w:val="00"/>
    <w:family w:val="auto"/>
    <w:pitch w:val="default"/>
    <w:sig w:usb0="00000000" w:usb1="00000000" w:usb2="02000000" w:usb3="00000000" w:csb0="2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14809"/>
    <w:rsid w:val="177F7D69"/>
    <w:rsid w:val="1BD92C57"/>
    <w:rsid w:val="227F4BB4"/>
    <w:rsid w:val="3A312A4C"/>
    <w:rsid w:val="3E371A14"/>
    <w:rsid w:val="44FC5765"/>
    <w:rsid w:val="45107462"/>
    <w:rsid w:val="553E35E4"/>
    <w:rsid w:val="5A5D7CF5"/>
    <w:rsid w:val="66E47473"/>
    <w:rsid w:val="6FF79E02"/>
    <w:rsid w:val="96EFFC95"/>
    <w:rsid w:val="DDB7431B"/>
    <w:rsid w:val="FBCF3AF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widowControl w:val="0"/>
      <w:spacing w:after="120"/>
      <w:jc w:val="both"/>
    </w:pPr>
    <w:rPr>
      <w:rFonts w:ascii="Times New Roman" w:hAnsi="Times New Roman" w:eastAsia="方正仿宋简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3</Pages>
  <Words>1397</Words>
  <Characters>1494</Characters>
  <Lines>0</Lines>
  <Paragraphs>0</Paragraphs>
  <TotalTime>0</TotalTime>
  <ScaleCrop>false</ScaleCrop>
  <LinksUpToDate>false</LinksUpToDate>
  <CharactersWithSpaces>1501</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2026-04-03T18:28:00Z</dcterms:created>
  <dc:creator>Administrator</dc:creator>
  <cp:lastModifiedBy>罗钊</cp:lastModifiedBy>
  <dcterms:modified xsi:type="dcterms:W3CDTF">2026-08-27T15:36:30Z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y fmtid="{D5CDD505-2E9C-101B-9397-08002B2CF9AE}" pid="3" name="ICV">
    <vt:lpwstr>916B5873ECB96B6756F8876A4328BF1E_43</vt:lpwstr>
  </property>
  <property fmtid="{D5CDD505-2E9C-101B-9397-08002B2CF9AE}" pid="4" name="KSOTemplateDocerSaveRecord">
    <vt:lpwstr>eyJoZGlkIjoiN2FiMTAzN2YwZTkzMjMwYjRjZjkzNGQ5YjI1NDJhY2IiLCJ1c2VySWQiOiI3MDU1ODI1NDAifQ==</vt:lpwstr>
  </property>
</Properties>
</file>