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r>
        <w:rPr>
          <w:rFonts w:hint="eastAsia" w:ascii="黑体" w:hAnsi="黑体" w:eastAsia="黑体" w:cs="黑体"/>
          <w:sz w:val="32"/>
          <w:szCs w:val="32"/>
        </w:rPr>
        <w:t>附件2</w:t>
      </w:r>
    </w:p>
    <w:p>
      <w:pPr>
        <w:autoSpaceDE w:val="0"/>
        <w:autoSpaceDN w:val="0"/>
        <w:adjustRightInd w:val="0"/>
        <w:spacing w:line="0" w:lineRule="atLeast"/>
        <w:jc w:val="center"/>
        <w:rPr>
          <w:rFonts w:ascii="方正小标宋简体" w:eastAsia="方正小标宋简体" w:cs="宋体"/>
          <w:b/>
          <w:kern w:val="0"/>
          <w:sz w:val="44"/>
          <w:szCs w:val="44"/>
        </w:rPr>
      </w:pPr>
      <w:r>
        <w:rPr>
          <w:rFonts w:hint="eastAsia" w:ascii="方正小标宋简体" w:eastAsia="方正小标宋简体" w:cs="宋体"/>
          <w:b/>
          <w:kern w:val="0"/>
          <w:sz w:val="44"/>
          <w:szCs w:val="44"/>
        </w:rPr>
        <w:t>福建省边海电磁频谱管控应用能力研究</w:t>
      </w:r>
      <w:r>
        <w:rPr>
          <w:rFonts w:hint="eastAsia" w:ascii="方正小标宋简体" w:eastAsia="方正小标宋简体" w:cs="宋体"/>
          <w:b/>
          <w:kern w:val="0"/>
          <w:sz w:val="44"/>
          <w:szCs w:val="44"/>
          <w:lang w:eastAsia="zh-CN"/>
        </w:rPr>
        <w:t>服务</w:t>
      </w:r>
      <w:r>
        <w:rPr>
          <w:rFonts w:hint="eastAsia" w:ascii="方正小标宋简体" w:eastAsia="方正小标宋简体" w:cs="宋体"/>
          <w:b/>
          <w:kern w:val="0"/>
          <w:sz w:val="44"/>
          <w:szCs w:val="44"/>
        </w:rPr>
        <w:t>采购内容及要求</w:t>
      </w:r>
    </w:p>
    <w:p>
      <w:pPr>
        <w:autoSpaceDE w:val="0"/>
        <w:autoSpaceDN w:val="0"/>
        <w:adjustRightInd w:val="0"/>
        <w:ind w:firstLine="2090" w:firstLineChars="1100"/>
        <w:jc w:val="left"/>
        <w:rPr>
          <w:rFonts w:ascii="宋体" w:eastAsia="宋体" w:cs="宋体"/>
          <w:kern w:val="0"/>
          <w:sz w:val="19"/>
          <w:szCs w:val="19"/>
        </w:rPr>
      </w:pPr>
    </w:p>
    <w:p>
      <w:pPr>
        <w:autoSpaceDE w:val="0"/>
        <w:autoSpaceDN w:val="0"/>
        <w:adjustRightInd w:val="0"/>
        <w:ind w:firstLine="2090" w:firstLineChars="1100"/>
        <w:jc w:val="left"/>
        <w:rPr>
          <w:rFonts w:ascii="宋体" w:eastAsia="宋体" w:cs="宋体"/>
          <w:kern w:val="0"/>
          <w:sz w:val="19"/>
          <w:szCs w:val="19"/>
        </w:rPr>
      </w:pPr>
    </w:p>
    <w:p>
      <w:pPr>
        <w:pStyle w:val="8"/>
        <w:numPr>
          <w:ilvl w:val="0"/>
          <w:numId w:val="1"/>
        </w:numPr>
        <w:autoSpaceDE w:val="0"/>
        <w:autoSpaceDN w:val="0"/>
        <w:adjustRightInd w:val="0"/>
        <w:ind w:left="567" w:hanging="142" w:firstLineChars="0"/>
        <w:jc w:val="left"/>
        <w:rPr>
          <w:rFonts w:ascii="黑体" w:hAnsi="黑体" w:eastAsia="黑体" w:cs="宋体"/>
          <w:kern w:val="0"/>
          <w:sz w:val="32"/>
          <w:szCs w:val="32"/>
        </w:rPr>
      </w:pPr>
      <w:r>
        <w:rPr>
          <w:rFonts w:hint="eastAsia" w:ascii="黑体" w:hAnsi="黑体" w:eastAsia="黑体" w:cs="宋体"/>
          <w:kern w:val="0"/>
          <w:sz w:val="32"/>
          <w:szCs w:val="32"/>
        </w:rPr>
        <w:t>技术标准与要求</w:t>
      </w:r>
    </w:p>
    <w:tbl>
      <w:tblPr>
        <w:tblStyle w:val="6"/>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7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pPr>
              <w:autoSpaceDE w:val="0"/>
              <w:autoSpaceDN w:val="0"/>
              <w:adjustRightInd w:val="0"/>
              <w:spacing w:line="360" w:lineRule="exact"/>
              <w:ind w:left="-143" w:leftChars="-68"/>
              <w:rPr>
                <w:rFonts w:ascii="黑体" w:hAnsi="黑体" w:eastAsia="黑体" w:cs="宋体"/>
                <w:color w:val="000000" w:themeColor="text1"/>
                <w:kern w:val="0"/>
                <w:sz w:val="28"/>
                <w:szCs w:val="28"/>
                <w14:textFill>
                  <w14:solidFill>
                    <w14:schemeClr w14:val="tx1"/>
                  </w14:solidFill>
                </w14:textFill>
              </w:rPr>
            </w:pPr>
            <w:r>
              <w:rPr>
                <w:rFonts w:hint="eastAsia" w:ascii="黑体" w:hAnsi="黑体" w:eastAsia="黑体" w:cs="宋体"/>
                <w:color w:val="000000" w:themeColor="text1"/>
                <w:kern w:val="0"/>
                <w:sz w:val="28"/>
                <w:szCs w:val="28"/>
                <w14:textFill>
                  <w14:solidFill>
                    <w14:schemeClr w14:val="tx1"/>
                  </w14:solidFill>
                </w14:textFill>
              </w:rPr>
              <w:t>一、名称及预算</w:t>
            </w:r>
          </w:p>
          <w:p>
            <w:pPr>
              <w:autoSpaceDE w:val="0"/>
              <w:autoSpaceDN w:val="0"/>
              <w:adjustRightInd w:val="0"/>
              <w:spacing w:line="360" w:lineRule="exact"/>
              <w:ind w:leftChars="-67" w:hanging="141" w:hangingChars="50"/>
              <w:rPr>
                <w:rFonts w:ascii="仿宋_GB2312" w:eastAsia="仿宋_GB2312" w:cs="宋体"/>
                <w:b/>
                <w:color w:val="000000" w:themeColor="text1"/>
                <w:kern w:val="0"/>
                <w:sz w:val="28"/>
                <w:szCs w:val="28"/>
                <w14:textFill>
                  <w14:solidFill>
                    <w14:schemeClr w14:val="tx1"/>
                  </w14:solidFill>
                </w14:textFill>
              </w:rPr>
            </w:pPr>
          </w:p>
        </w:tc>
        <w:tc>
          <w:tcPr>
            <w:tcW w:w="7909" w:type="dxa"/>
          </w:tcPr>
          <w:p>
            <w:pPr>
              <w:autoSpaceDE w:val="0"/>
              <w:autoSpaceDN w:val="0"/>
              <w:adjustRightInd w:val="0"/>
              <w:ind w:left="-2" w:leftChars="-1" w:firstLine="704" w:firstLineChars="220"/>
              <w:rPr>
                <w:rFonts w:ascii="仿宋_GB2312" w:eastAsia="仿宋_GB2312" w:cs="DejaVuSans"/>
                <w:color w:val="000000" w:themeColor="text1"/>
                <w:kern w:val="0"/>
                <w:sz w:val="32"/>
                <w:szCs w:val="32"/>
                <w14:textFill>
                  <w14:solidFill>
                    <w14:schemeClr w14:val="tx1"/>
                  </w14:solidFill>
                </w14:textFill>
              </w:rPr>
            </w:pPr>
            <w:r>
              <w:rPr>
                <w:rFonts w:hint="eastAsia" w:ascii="仿宋_GB2312" w:eastAsia="仿宋_GB2312" w:cs="DejaVuSans"/>
                <w:color w:val="000000" w:themeColor="text1"/>
                <w:kern w:val="0"/>
                <w:sz w:val="32"/>
                <w:szCs w:val="32"/>
                <w14:textFill>
                  <w14:solidFill>
                    <w14:schemeClr w14:val="tx1"/>
                  </w14:solidFill>
                </w14:textFill>
              </w:rPr>
              <w:t>1.名称：福建省边海电磁频谱管控应用能力研究服务。</w:t>
            </w:r>
          </w:p>
          <w:p>
            <w:pPr>
              <w:autoSpaceDE w:val="0"/>
              <w:autoSpaceDN w:val="0"/>
              <w:adjustRightInd w:val="0"/>
              <w:ind w:left="-2" w:leftChars="-1" w:firstLine="704" w:firstLineChars="220"/>
              <w:rPr>
                <w:rFonts w:ascii="仿宋_GB2312" w:eastAsia="仿宋_GB2312" w:cs="DejaVuSans"/>
                <w:color w:val="000000" w:themeColor="text1"/>
                <w:kern w:val="0"/>
                <w:sz w:val="32"/>
                <w:szCs w:val="32"/>
                <w14:textFill>
                  <w14:solidFill>
                    <w14:schemeClr w14:val="tx1"/>
                  </w14:solidFill>
                </w14:textFill>
              </w:rPr>
            </w:pPr>
            <w:r>
              <w:rPr>
                <w:rFonts w:hint="eastAsia" w:ascii="仿宋_GB2312" w:eastAsia="仿宋_GB2312" w:cs="DejaVuSans"/>
                <w:color w:val="000000" w:themeColor="text1"/>
                <w:kern w:val="0"/>
                <w:sz w:val="32"/>
                <w:szCs w:val="32"/>
                <w14:textFill>
                  <w14:solidFill>
                    <w14:schemeClr w14:val="tx1"/>
                  </w14:solidFill>
                </w14:textFill>
              </w:rPr>
              <w:t>2.限价：最高限价为人民币</w:t>
            </w:r>
            <w:r>
              <w:rPr>
                <w:rFonts w:hint="eastAsia" w:ascii="仿宋_GB2312" w:eastAsia="仿宋_GB2312" w:cs="DejaVuSans"/>
                <w:color w:val="000000" w:themeColor="text1"/>
                <w:kern w:val="0"/>
                <w:sz w:val="32"/>
                <w:szCs w:val="32"/>
                <w:lang w:val="en-US" w:eastAsia="zh-CN"/>
                <w14:textFill>
                  <w14:solidFill>
                    <w14:schemeClr w14:val="tx1"/>
                  </w14:solidFill>
                </w14:textFill>
              </w:rPr>
              <w:t>14.85</w:t>
            </w:r>
            <w:r>
              <w:rPr>
                <w:rFonts w:hint="eastAsia" w:ascii="仿宋_GB2312" w:eastAsia="仿宋_GB2312" w:cs="DejaVuSans"/>
                <w:color w:val="000000" w:themeColor="text1"/>
                <w:kern w:val="0"/>
                <w:sz w:val="32"/>
                <w:szCs w:val="32"/>
                <w14:textFill>
                  <w14:solidFill>
                    <w14:schemeClr w14:val="tx1"/>
                  </w14:solidFill>
                </w14:textFill>
              </w:rPr>
              <w:t>万元(包括但不限于：研究费用、专家费、调研差旅费、资料费、项目验收费、税费等)，凡超出最高限价的，一律视为无效响应。</w:t>
            </w:r>
          </w:p>
          <w:p>
            <w:pPr>
              <w:autoSpaceDE w:val="0"/>
              <w:autoSpaceDN w:val="0"/>
              <w:adjustRightInd w:val="0"/>
              <w:ind w:left="-2" w:leftChars="-1" w:firstLine="704" w:firstLineChars="220"/>
              <w:rPr>
                <w:rFonts w:ascii="仿宋_GB2312" w:eastAsia="仿宋_GB2312" w:cs="宋体"/>
                <w:b/>
                <w:color w:val="000000" w:themeColor="text1"/>
                <w:kern w:val="0"/>
                <w:sz w:val="28"/>
                <w:szCs w:val="28"/>
                <w14:textFill>
                  <w14:solidFill>
                    <w14:schemeClr w14:val="tx1"/>
                  </w14:solidFill>
                </w14:textFill>
              </w:rPr>
            </w:pPr>
            <w:r>
              <w:rPr>
                <w:rFonts w:hint="eastAsia" w:ascii="仿宋_GB2312" w:eastAsia="仿宋_GB2312" w:cs="DejaVuSans"/>
                <w:color w:val="000000" w:themeColor="text1"/>
                <w:kern w:val="0"/>
                <w:sz w:val="32"/>
                <w:szCs w:val="32"/>
                <w14:textFill>
                  <w14:solidFill>
                    <w14:schemeClr w14:val="tx1"/>
                  </w14:solidFill>
                </w14:textFill>
              </w:rPr>
              <w:t>响应报价应为人民币含税包干价，包括可预见和不可预见的一切费用。采购人不再另行支付除成交金额以外的任何费用。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9" w:hRule="atLeast"/>
        </w:trPr>
        <w:tc>
          <w:tcPr>
            <w:tcW w:w="988" w:type="dxa"/>
            <w:vAlign w:val="center"/>
          </w:tcPr>
          <w:p>
            <w:pPr>
              <w:autoSpaceDE w:val="0"/>
              <w:autoSpaceDN w:val="0"/>
              <w:adjustRightInd w:val="0"/>
              <w:spacing w:line="360" w:lineRule="exact"/>
              <w:ind w:left="-143" w:leftChars="-68"/>
              <w:rPr>
                <w:rFonts w:ascii="仿宋_GB2312" w:eastAsia="仿宋_GB2312" w:cs="宋体"/>
                <w:b/>
                <w:color w:val="000000" w:themeColor="text1"/>
                <w:kern w:val="0"/>
                <w:sz w:val="28"/>
                <w:szCs w:val="28"/>
                <w14:textFill>
                  <w14:solidFill>
                    <w14:schemeClr w14:val="tx1"/>
                  </w14:solidFill>
                </w14:textFill>
              </w:rPr>
            </w:pPr>
            <w:r>
              <w:rPr>
                <w:rFonts w:hint="eastAsia" w:ascii="黑体" w:hAnsi="黑体" w:eastAsia="黑体" w:cs="宋体"/>
                <w:color w:val="000000" w:themeColor="text1"/>
                <w:kern w:val="0"/>
                <w:sz w:val="28"/>
                <w:szCs w:val="28"/>
                <w14:textFill>
                  <w14:solidFill>
                    <w14:schemeClr w14:val="tx1"/>
                  </w14:solidFill>
                </w14:textFill>
              </w:rPr>
              <w:t>二、</w:t>
            </w:r>
            <w:r>
              <w:rPr>
                <w:rFonts w:hint="eastAsia" w:ascii="黑体" w:hAnsi="黑体" w:eastAsia="黑体" w:cs="宋体"/>
                <w:color w:val="000000" w:themeColor="text1"/>
                <w:kern w:val="0"/>
                <w:sz w:val="28"/>
                <w:szCs w:val="28"/>
                <w:lang w:eastAsia="zh-CN"/>
                <w14:textFill>
                  <w14:solidFill>
                    <w14:schemeClr w14:val="tx1"/>
                  </w14:solidFill>
                </w14:textFill>
              </w:rPr>
              <w:t>工作</w:t>
            </w:r>
            <w:r>
              <w:rPr>
                <w:rFonts w:hint="eastAsia" w:ascii="黑体" w:hAnsi="黑体" w:eastAsia="黑体" w:cs="宋体"/>
                <w:color w:val="000000" w:themeColor="text1"/>
                <w:kern w:val="0"/>
                <w:sz w:val="28"/>
                <w:szCs w:val="28"/>
                <w14:textFill>
                  <w14:solidFill>
                    <w14:schemeClr w14:val="tx1"/>
                  </w14:solidFill>
                </w14:textFill>
              </w:rPr>
              <w:t>目标</w:t>
            </w:r>
          </w:p>
        </w:tc>
        <w:tc>
          <w:tcPr>
            <w:tcW w:w="7909" w:type="dxa"/>
          </w:tcPr>
          <w:p>
            <w:pPr>
              <w:ind w:firstLine="640" w:firstLineChars="200"/>
              <w:rPr>
                <w:rFonts w:ascii="仿宋_GB2312" w:eastAsia="仿宋_GB2312" w:cs="宋体"/>
                <w:b/>
                <w:color w:val="000000" w:themeColor="text1"/>
                <w:kern w:val="0"/>
                <w:sz w:val="28"/>
                <w:szCs w:val="28"/>
                <w14:textFill>
                  <w14:solidFill>
                    <w14:schemeClr w14:val="tx1"/>
                  </w14:solidFill>
                </w14:textFill>
              </w:rPr>
            </w:pPr>
            <w:r>
              <w:rPr>
                <w:rFonts w:hint="eastAsia" w:ascii="仿宋_GB2312" w:eastAsia="仿宋_GB2312" w:cs="DejaVuSans"/>
                <w:color w:val="000000" w:themeColor="text1"/>
                <w:kern w:val="0"/>
                <w:sz w:val="32"/>
                <w:szCs w:val="32"/>
                <w14:textFill>
                  <w14:solidFill>
                    <w14:schemeClr w14:val="tx1"/>
                  </w14:solidFill>
                </w14:textFill>
              </w:rPr>
              <w:t>在高质量完成专题研究报告的基础上，提出加强现有边海无线电监测设备设施使用建议，进一步发挥现有设备系统的能力</w:t>
            </w:r>
            <w:r>
              <w:rPr>
                <w:rFonts w:hint="eastAsia" w:ascii="仿宋_GB2312" w:eastAsia="仿宋_GB2312" w:cs="DejaVuSans"/>
                <w:color w:val="000000" w:themeColor="text1"/>
                <w:kern w:val="0"/>
                <w:sz w:val="32"/>
                <w:szCs w:val="32"/>
                <w:lang w:eastAsia="zh-CN"/>
                <w14:textFill>
                  <w14:solidFill>
                    <w14:schemeClr w14:val="tx1"/>
                  </w14:solidFill>
                </w14:textFill>
              </w:rPr>
              <w:t>和监测数据分析能力</w:t>
            </w:r>
            <w:r>
              <w:rPr>
                <w:rFonts w:hint="eastAsia" w:ascii="仿宋_GB2312" w:eastAsia="仿宋_GB2312" w:cs="DejaVuSans"/>
                <w:color w:val="000000" w:themeColor="text1"/>
                <w:kern w:val="0"/>
                <w:sz w:val="32"/>
                <w:szCs w:val="32"/>
                <w14:textFill>
                  <w14:solidFill>
                    <w14:schemeClr w14:val="tx1"/>
                  </w14:solidFill>
                </w14:textFill>
              </w:rPr>
              <w:t>，为服务地方经济发展，服务国防建设更好的发挥作用。同时，根据福建省无线电管理规划，提出对现有设备设施</w:t>
            </w:r>
            <w:r>
              <w:rPr>
                <w:rFonts w:hint="eastAsia" w:ascii="仿宋_GB2312" w:eastAsia="仿宋_GB2312" w:cs="DejaVuSans"/>
                <w:color w:val="000000" w:themeColor="text1"/>
                <w:kern w:val="0"/>
                <w:sz w:val="32"/>
                <w:szCs w:val="32"/>
                <w:lang w:eastAsia="zh-CN"/>
                <w14:textFill>
                  <w14:solidFill>
                    <w14:schemeClr w14:val="tx1"/>
                  </w14:solidFill>
                </w14:textFill>
              </w:rPr>
              <w:t>、一体化应用</w:t>
            </w:r>
            <w:r>
              <w:rPr>
                <w:rFonts w:hint="eastAsia" w:ascii="仿宋_GB2312" w:eastAsia="仿宋_GB2312" w:cs="DejaVuSans"/>
                <w:color w:val="000000" w:themeColor="text1"/>
                <w:kern w:val="0"/>
                <w:sz w:val="32"/>
                <w:szCs w:val="32"/>
                <w14:textFill>
                  <w14:solidFill>
                    <w14:schemeClr w14:val="tx1"/>
                  </w14:solidFill>
                </w14:textFill>
              </w:rPr>
              <w:t>功能提升和完善的策略意见。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pPr>
              <w:autoSpaceDE w:val="0"/>
              <w:autoSpaceDN w:val="0"/>
              <w:adjustRightInd w:val="0"/>
              <w:spacing w:line="360" w:lineRule="exact"/>
              <w:ind w:left="-143" w:leftChars="-68"/>
              <w:rPr>
                <w:rFonts w:ascii="仿宋_GB2312" w:eastAsia="仿宋_GB2312" w:cs="宋体"/>
                <w:b/>
                <w:color w:val="000000" w:themeColor="text1"/>
                <w:kern w:val="0"/>
                <w:sz w:val="28"/>
                <w:szCs w:val="28"/>
                <w14:textFill>
                  <w14:solidFill>
                    <w14:schemeClr w14:val="tx1"/>
                  </w14:solidFill>
                </w14:textFill>
              </w:rPr>
            </w:pPr>
            <w:r>
              <w:rPr>
                <w:rFonts w:hint="eastAsia" w:ascii="黑体" w:hAnsi="黑体" w:eastAsia="黑体" w:cs="宋体"/>
                <w:color w:val="000000" w:themeColor="text1"/>
                <w:kern w:val="0"/>
                <w:sz w:val="28"/>
                <w:szCs w:val="28"/>
                <w14:textFill>
                  <w14:solidFill>
                    <w14:schemeClr w14:val="tx1"/>
                  </w14:solidFill>
                </w14:textFill>
              </w:rPr>
              <w:t>三、服务内容</w:t>
            </w:r>
          </w:p>
        </w:tc>
        <w:tc>
          <w:tcPr>
            <w:tcW w:w="7909" w:type="dxa"/>
          </w:tcPr>
          <w:p>
            <w:pPr>
              <w:rPr>
                <w:rFonts w:hint="eastAsia" w:ascii="仿宋_GB2312" w:eastAsia="仿宋_GB2312" w:cs="DejaVuSans"/>
                <w:color w:val="000000" w:themeColor="text1"/>
                <w:kern w:val="0"/>
                <w:sz w:val="32"/>
                <w:szCs w:val="32"/>
                <w:lang w:eastAsia="zh-CN"/>
                <w14:textFill>
                  <w14:solidFill>
                    <w14:schemeClr w14:val="tx1"/>
                  </w14:solidFill>
                </w14:textFill>
              </w:rPr>
            </w:pPr>
            <w:r>
              <w:rPr>
                <w:rFonts w:hint="eastAsia" w:ascii="仿宋_GB2312" w:eastAsia="仿宋_GB2312" w:cs="DejaVuSans"/>
                <w:color w:val="000000" w:themeColor="text1"/>
                <w:kern w:val="0"/>
                <w:sz w:val="32"/>
                <w:szCs w:val="32"/>
                <w:lang w:eastAsia="zh-CN"/>
                <w14:textFill>
                  <w14:solidFill>
                    <w14:schemeClr w14:val="tx1"/>
                  </w14:solidFill>
                </w14:textFill>
              </w:rPr>
              <w:t>一、基本要求</w:t>
            </w:r>
          </w:p>
          <w:p>
            <w:pPr>
              <w:ind w:firstLine="640" w:firstLineChars="200"/>
              <w:rPr>
                <w:rFonts w:hint="eastAsia" w:ascii="仿宋_GB2312" w:eastAsia="仿宋_GB2312" w:cs="DejaVuSans"/>
                <w:color w:val="000000" w:themeColor="text1"/>
                <w:kern w:val="0"/>
                <w:sz w:val="32"/>
                <w:szCs w:val="32"/>
                <w14:textFill>
                  <w14:solidFill>
                    <w14:schemeClr w14:val="tx1"/>
                  </w14:solidFill>
                </w14:textFill>
              </w:rPr>
            </w:pPr>
            <w:r>
              <w:rPr>
                <w:rFonts w:hint="eastAsia" w:ascii="仿宋_GB2312" w:eastAsia="仿宋_GB2312" w:cs="DejaVuSans"/>
                <w:color w:val="000000" w:themeColor="text1"/>
                <w:kern w:val="0"/>
                <w:sz w:val="32"/>
                <w:szCs w:val="32"/>
                <w14:textFill>
                  <w14:solidFill>
                    <w14:schemeClr w14:val="tx1"/>
                  </w14:solidFill>
                </w14:textFill>
              </w:rPr>
              <w:t>福建省无线电管理技术设施建设“十四五”规划指出，我省边海区域无线电技术设施建设有待完善，设施能力需进一步提升。面对当前日益复杂局势，在充分利用我省现有设备设施的基础上，以无线电管理需求和无线电相关产业发展需求为导向，结合制造强国、网络强国、数字中国、数字福建总体布局，充分运用和发挥新一代信息技术优势，加快推进无线电管理技术设施高质量建设，实现进一步提升无线电管理现代化治理效能，服务经济社会发展和国防建设。</w:t>
            </w:r>
          </w:p>
          <w:p>
            <w:pPr>
              <w:ind w:firstLine="640" w:firstLineChars="200"/>
              <w:rPr>
                <w:rFonts w:hint="eastAsia" w:ascii="仿宋_GB2312" w:eastAsia="仿宋_GB2312" w:cs="DejaVuSans"/>
                <w:color w:val="000000" w:themeColor="text1"/>
                <w:kern w:val="0"/>
                <w:sz w:val="32"/>
                <w:szCs w:val="32"/>
                <w14:textFill>
                  <w14:solidFill>
                    <w14:schemeClr w14:val="tx1"/>
                  </w14:solidFill>
                </w14:textFill>
              </w:rPr>
            </w:pPr>
            <w:r>
              <w:rPr>
                <w:rFonts w:hint="eastAsia" w:ascii="仿宋_GB2312" w:eastAsia="仿宋_GB2312" w:cs="DejaVuSans"/>
                <w:color w:val="000000" w:themeColor="text1"/>
                <w:kern w:val="0"/>
                <w:sz w:val="32"/>
                <w:szCs w:val="32"/>
                <w14:textFill>
                  <w14:solidFill>
                    <w14:schemeClr w14:val="tx1"/>
                  </w14:solidFill>
                </w14:textFill>
              </w:rPr>
              <w:t>为进一步</w:t>
            </w:r>
            <w:r>
              <w:rPr>
                <w:rFonts w:hint="eastAsia" w:ascii="仿宋_GB2312" w:eastAsia="仿宋_GB2312" w:cs="DejaVuSans"/>
                <w:color w:val="000000" w:themeColor="text1"/>
                <w:kern w:val="0"/>
                <w:sz w:val="32"/>
                <w:szCs w:val="32"/>
                <w:lang w:eastAsia="zh-CN"/>
                <w14:textFill>
                  <w14:solidFill>
                    <w14:schemeClr w14:val="tx1"/>
                  </w14:solidFill>
                </w14:textFill>
              </w:rPr>
              <w:t>突出福建省沿海沿边区位特点，</w:t>
            </w:r>
            <w:r>
              <w:rPr>
                <w:rFonts w:hint="eastAsia" w:ascii="仿宋_GB2312" w:eastAsia="仿宋_GB2312" w:cs="DejaVuSans"/>
                <w:color w:val="000000" w:themeColor="text1"/>
                <w:kern w:val="0"/>
                <w:sz w:val="32"/>
                <w:szCs w:val="32"/>
                <w14:textFill>
                  <w14:solidFill>
                    <w14:schemeClr w14:val="tx1"/>
                  </w14:solidFill>
                </w14:textFill>
              </w:rPr>
              <w:t>提升福建省边海电磁</w:t>
            </w:r>
            <w:r>
              <w:rPr>
                <w:rFonts w:hint="eastAsia" w:ascii="仿宋_GB2312" w:eastAsia="仿宋_GB2312" w:cs="DejaVuSans"/>
                <w:color w:val="000000" w:themeColor="text1"/>
                <w:kern w:val="0"/>
                <w:sz w:val="32"/>
                <w:szCs w:val="32"/>
                <w:lang w:eastAsia="zh-CN"/>
                <w14:textFill>
                  <w14:solidFill>
                    <w14:schemeClr w14:val="tx1"/>
                  </w14:solidFill>
                </w14:textFill>
              </w:rPr>
              <w:t>环境感知能力，加强辖区</w:t>
            </w:r>
            <w:r>
              <w:rPr>
                <w:rFonts w:hint="eastAsia" w:ascii="仿宋_GB2312" w:eastAsia="仿宋_GB2312" w:cs="DejaVuSans"/>
                <w:color w:val="000000" w:themeColor="text1"/>
                <w:kern w:val="0"/>
                <w:sz w:val="32"/>
                <w:szCs w:val="32"/>
                <w14:textFill>
                  <w14:solidFill>
                    <w14:schemeClr w14:val="tx1"/>
                  </w14:solidFill>
                </w14:textFill>
              </w:rPr>
              <w:t>频谱管控能力，提高对现有边海无线电监测设备设施应用水平，发挥好已建成无线电监测设备性能，组织开展本课题项目研究工作。通过开展专题研究，摸清我省边海无线电监测系统能力水平，</w:t>
            </w:r>
            <w:r>
              <w:rPr>
                <w:rFonts w:hint="eastAsia" w:ascii="仿宋_GB2312" w:eastAsia="仿宋_GB2312" w:cs="DejaVuSans"/>
                <w:color w:val="000000" w:themeColor="text1"/>
                <w:kern w:val="0"/>
                <w:sz w:val="32"/>
                <w:szCs w:val="32"/>
                <w:lang w:eastAsia="zh-CN"/>
                <w14:textFill>
                  <w14:solidFill>
                    <w14:schemeClr w14:val="tx1"/>
                  </w14:solidFill>
                </w14:textFill>
              </w:rPr>
              <w:t>为更好服务“三管理、三服务、一突出”中心工作，提出未来提升</w:t>
            </w:r>
            <w:r>
              <w:rPr>
                <w:rFonts w:hint="eastAsia" w:ascii="仿宋_GB2312" w:eastAsia="仿宋_GB2312" w:cs="DejaVuSans"/>
                <w:color w:val="000000" w:themeColor="text1"/>
                <w:kern w:val="0"/>
                <w:sz w:val="32"/>
                <w:szCs w:val="32"/>
                <w14:textFill>
                  <w14:solidFill>
                    <w14:schemeClr w14:val="tx1"/>
                  </w14:solidFill>
                </w14:textFill>
              </w:rPr>
              <w:t>福建省边海电磁</w:t>
            </w:r>
            <w:r>
              <w:rPr>
                <w:rFonts w:hint="eastAsia" w:ascii="仿宋_GB2312" w:eastAsia="仿宋_GB2312" w:cs="DejaVuSans"/>
                <w:color w:val="000000" w:themeColor="text1"/>
                <w:kern w:val="0"/>
                <w:sz w:val="32"/>
                <w:szCs w:val="32"/>
                <w:lang w:eastAsia="zh-CN"/>
                <w14:textFill>
                  <w14:solidFill>
                    <w14:schemeClr w14:val="tx1"/>
                  </w14:solidFill>
                </w14:textFill>
              </w:rPr>
              <w:t>环境感知能力，加强辖区</w:t>
            </w:r>
            <w:r>
              <w:rPr>
                <w:rFonts w:hint="eastAsia" w:ascii="仿宋_GB2312" w:eastAsia="仿宋_GB2312" w:cs="DejaVuSans"/>
                <w:color w:val="000000" w:themeColor="text1"/>
                <w:kern w:val="0"/>
                <w:sz w:val="32"/>
                <w:szCs w:val="32"/>
                <w14:textFill>
                  <w14:solidFill>
                    <w14:schemeClr w14:val="tx1"/>
                  </w14:solidFill>
                </w14:textFill>
              </w:rPr>
              <w:t>频谱管控能力</w:t>
            </w:r>
            <w:r>
              <w:rPr>
                <w:rFonts w:hint="eastAsia" w:ascii="仿宋_GB2312" w:eastAsia="仿宋_GB2312" w:cs="DejaVuSans"/>
                <w:color w:val="000000" w:themeColor="text1"/>
                <w:kern w:val="0"/>
                <w:sz w:val="32"/>
                <w:szCs w:val="32"/>
                <w:lang w:eastAsia="zh-CN"/>
                <w14:textFill>
                  <w14:solidFill>
                    <w14:schemeClr w14:val="tx1"/>
                  </w14:solidFill>
                </w14:textFill>
              </w:rPr>
              <w:t>的</w:t>
            </w:r>
            <w:r>
              <w:rPr>
                <w:rFonts w:hint="eastAsia" w:ascii="仿宋_GB2312" w:eastAsia="仿宋_GB2312" w:cs="DejaVuSans"/>
                <w:color w:val="000000" w:themeColor="text1"/>
                <w:kern w:val="0"/>
                <w:sz w:val="32"/>
                <w:szCs w:val="32"/>
                <w14:textFill>
                  <w14:solidFill>
                    <w14:schemeClr w14:val="tx1"/>
                  </w14:solidFill>
                </w14:textFill>
              </w:rPr>
              <w:t>意见建议，为后续无线电基础设施建设</w:t>
            </w:r>
            <w:r>
              <w:rPr>
                <w:rFonts w:hint="eastAsia" w:ascii="仿宋_GB2312" w:eastAsia="仿宋_GB2312" w:cs="DejaVuSans"/>
                <w:color w:val="000000" w:themeColor="text1"/>
                <w:kern w:val="0"/>
                <w:sz w:val="32"/>
                <w:szCs w:val="32"/>
                <w:lang w:eastAsia="zh-CN"/>
                <w14:textFill>
                  <w14:solidFill>
                    <w14:schemeClr w14:val="tx1"/>
                  </w14:solidFill>
                </w14:textFill>
              </w:rPr>
              <w:t>和无线电管理一体化功能建设</w:t>
            </w:r>
            <w:r>
              <w:rPr>
                <w:rFonts w:hint="eastAsia" w:ascii="仿宋_GB2312" w:eastAsia="仿宋_GB2312" w:cs="DejaVuSans"/>
                <w:color w:val="000000" w:themeColor="text1"/>
                <w:kern w:val="0"/>
                <w:sz w:val="32"/>
                <w:szCs w:val="32"/>
                <w14:textFill>
                  <w14:solidFill>
                    <w14:schemeClr w14:val="tx1"/>
                  </w14:solidFill>
                </w14:textFill>
              </w:rPr>
              <w:t>提出可行性建议。</w:t>
            </w:r>
          </w:p>
          <w:p>
            <w:pPr>
              <w:rPr>
                <w:rFonts w:hint="eastAsia" w:ascii="仿宋_GB2312" w:eastAsia="仿宋_GB2312" w:cs="DejaVuSans"/>
                <w:color w:val="000000" w:themeColor="text1"/>
                <w:kern w:val="0"/>
                <w:sz w:val="32"/>
                <w:szCs w:val="32"/>
                <w14:textFill>
                  <w14:solidFill>
                    <w14:schemeClr w14:val="tx1"/>
                  </w14:solidFill>
                </w14:textFill>
              </w:rPr>
            </w:pPr>
            <w:r>
              <w:rPr>
                <w:rFonts w:hint="eastAsia" w:ascii="仿宋_GB2312" w:eastAsia="仿宋_GB2312" w:cs="DejaVuSans"/>
                <w:color w:val="000000" w:themeColor="text1"/>
                <w:kern w:val="0"/>
                <w:sz w:val="32"/>
                <w:szCs w:val="32"/>
                <w:lang w:eastAsia="zh-CN"/>
                <w14:textFill>
                  <w14:solidFill>
                    <w14:schemeClr w14:val="tx1"/>
                  </w14:solidFill>
                </w14:textFill>
              </w:rPr>
              <w:t>二、</w:t>
            </w:r>
            <w:r>
              <w:rPr>
                <w:rFonts w:hint="eastAsia" w:ascii="仿宋_GB2312" w:eastAsia="仿宋_GB2312" w:cs="DejaVuSans"/>
                <w:color w:val="000000" w:themeColor="text1"/>
                <w:kern w:val="0"/>
                <w:sz w:val="32"/>
                <w:szCs w:val="32"/>
                <w14:textFill>
                  <w14:solidFill>
                    <w14:schemeClr w14:val="tx1"/>
                  </w14:solidFill>
                </w14:textFill>
              </w:rPr>
              <w:t>具体要求：</w:t>
            </w:r>
          </w:p>
          <w:p>
            <w:pPr>
              <w:ind w:firstLine="640" w:firstLineChars="200"/>
              <w:rPr>
                <w:rFonts w:hint="eastAsia" w:ascii="仿宋_GB2312" w:eastAsia="仿宋_GB2312" w:cs="DejaVuSans"/>
                <w:color w:val="000000" w:themeColor="text1"/>
                <w:kern w:val="0"/>
                <w:sz w:val="32"/>
                <w:szCs w:val="32"/>
                <w14:textFill>
                  <w14:solidFill>
                    <w14:schemeClr w14:val="tx1"/>
                  </w14:solidFill>
                </w14:textFill>
              </w:rPr>
            </w:pPr>
            <w:r>
              <w:rPr>
                <w:rFonts w:hint="eastAsia" w:ascii="仿宋_GB2312" w:eastAsia="仿宋_GB2312" w:cs="DejaVuSans"/>
                <w:color w:val="000000" w:themeColor="text1"/>
                <w:kern w:val="0"/>
                <w:sz w:val="32"/>
                <w:szCs w:val="32"/>
                <w14:textFill>
                  <w14:solidFill>
                    <w14:schemeClr w14:val="tx1"/>
                  </w14:solidFill>
                </w14:textFill>
              </w:rPr>
              <w:t>1、研究内容方面</w:t>
            </w:r>
            <w:r>
              <w:rPr>
                <w:rFonts w:hint="eastAsia" w:ascii="仿宋_GB2312" w:eastAsia="仿宋_GB2312" w:cs="DejaVuSans"/>
                <w:color w:val="000000" w:themeColor="text1"/>
                <w:kern w:val="0"/>
                <w:sz w:val="32"/>
                <w:szCs w:val="32"/>
                <w:lang w:eastAsia="zh-CN"/>
                <w14:textFill>
                  <w14:solidFill>
                    <w14:schemeClr w14:val="tx1"/>
                  </w14:solidFill>
                </w14:textFill>
              </w:rPr>
              <w:t>，</w:t>
            </w:r>
            <w:r>
              <w:rPr>
                <w:rFonts w:hint="eastAsia" w:ascii="仿宋_GB2312" w:eastAsia="仿宋_GB2312" w:cs="DejaVuSans"/>
                <w:color w:val="000000" w:themeColor="text1"/>
                <w:kern w:val="0"/>
                <w:sz w:val="32"/>
                <w:szCs w:val="32"/>
                <w14:textFill>
                  <w14:solidFill>
                    <w14:schemeClr w14:val="tx1"/>
                  </w14:solidFill>
                </w14:textFill>
              </w:rPr>
              <w:t>针对福建省现有已建成边海监测站点的系统功能的应用开展深入研究，对监测数据进行融合分析，课题成果能够支撑后续</w:t>
            </w:r>
            <w:r>
              <w:rPr>
                <w:rFonts w:hint="eastAsia" w:ascii="仿宋_GB2312" w:eastAsia="仿宋_GB2312" w:cs="DejaVuSans"/>
                <w:color w:val="000000" w:themeColor="text1"/>
                <w:kern w:val="0"/>
                <w:sz w:val="32"/>
                <w:szCs w:val="32"/>
                <w:lang w:eastAsia="zh-CN"/>
                <w14:textFill>
                  <w14:solidFill>
                    <w14:schemeClr w14:val="tx1"/>
                  </w14:solidFill>
                </w14:textFill>
              </w:rPr>
              <w:t>通过</w:t>
            </w:r>
            <w:r>
              <w:rPr>
                <w:rFonts w:hint="eastAsia" w:ascii="仿宋_GB2312" w:eastAsia="仿宋_GB2312" w:cs="DejaVuSans"/>
                <w:color w:val="000000" w:themeColor="text1"/>
                <w:kern w:val="0"/>
                <w:sz w:val="32"/>
                <w:szCs w:val="32"/>
                <w14:textFill>
                  <w14:solidFill>
                    <w14:schemeClr w14:val="tx1"/>
                  </w14:solidFill>
                </w14:textFill>
              </w:rPr>
              <w:t>无线电监测</w:t>
            </w:r>
            <w:r>
              <w:rPr>
                <w:rFonts w:hint="eastAsia" w:ascii="仿宋_GB2312" w:eastAsia="仿宋_GB2312" w:cs="DejaVuSans"/>
                <w:color w:val="000000" w:themeColor="text1"/>
                <w:kern w:val="0"/>
                <w:sz w:val="32"/>
                <w:szCs w:val="32"/>
                <w:lang w:eastAsia="zh-CN"/>
                <w14:textFill>
                  <w14:solidFill>
                    <w14:schemeClr w14:val="tx1"/>
                  </w14:solidFill>
                </w14:textFill>
              </w:rPr>
              <w:t>能力现代化建设提升福建省边海电磁环境感知能力和辖区频谱管控能力</w:t>
            </w:r>
            <w:r>
              <w:rPr>
                <w:rFonts w:hint="eastAsia" w:ascii="仿宋_GB2312" w:eastAsia="仿宋_GB2312" w:cs="DejaVuSans"/>
                <w:color w:val="000000" w:themeColor="text1"/>
                <w:kern w:val="0"/>
                <w:sz w:val="32"/>
                <w:szCs w:val="32"/>
                <w14:textFill>
                  <w14:solidFill>
                    <w14:schemeClr w14:val="tx1"/>
                  </w14:solidFill>
                </w14:textFill>
              </w:rPr>
              <w:t>的深入开展。</w:t>
            </w:r>
          </w:p>
          <w:p>
            <w:pPr>
              <w:ind w:firstLine="640" w:firstLineChars="200"/>
              <w:rPr>
                <w:rFonts w:hint="eastAsia" w:ascii="仿宋_GB2312" w:eastAsia="仿宋_GB2312" w:cs="DejaVuSans"/>
                <w:color w:val="000000" w:themeColor="text1"/>
                <w:kern w:val="0"/>
                <w:sz w:val="32"/>
                <w:szCs w:val="32"/>
                <w14:textFill>
                  <w14:solidFill>
                    <w14:schemeClr w14:val="tx1"/>
                  </w14:solidFill>
                </w14:textFill>
              </w:rPr>
            </w:pPr>
            <w:r>
              <w:rPr>
                <w:rFonts w:hint="eastAsia" w:ascii="仿宋_GB2312" w:eastAsia="仿宋_GB2312" w:cs="DejaVuSans"/>
                <w:color w:val="000000" w:themeColor="text1"/>
                <w:kern w:val="0"/>
                <w:sz w:val="32"/>
                <w:szCs w:val="32"/>
                <w14:textFill>
                  <w14:solidFill>
                    <w14:schemeClr w14:val="tx1"/>
                  </w14:solidFill>
                </w14:textFill>
              </w:rPr>
              <w:t>2、坚持调查研究与对策研究相结合，注重针对性和实用性，力求创新性和前瞻性，在深入研究分析的基础上提出相关无线电管理应对策略和创新性、方向性的决策咨询意见，形成专题研究报告。专题研究报告要数据详实、分析充分、结论清晰，指导性强。</w:t>
            </w:r>
          </w:p>
          <w:p>
            <w:pPr>
              <w:ind w:firstLine="640" w:firstLineChars="200"/>
              <w:rPr>
                <w:rFonts w:hint="eastAsia" w:ascii="仿宋_GB2312" w:eastAsia="仿宋_GB2312" w:cs="DejaVuSans"/>
                <w:color w:val="000000" w:themeColor="text1"/>
                <w:kern w:val="0"/>
                <w:sz w:val="32"/>
                <w:szCs w:val="32"/>
                <w14:textFill>
                  <w14:solidFill>
                    <w14:schemeClr w14:val="tx1"/>
                  </w14:solidFill>
                </w14:textFill>
              </w:rPr>
            </w:pPr>
            <w:r>
              <w:rPr>
                <w:rFonts w:hint="eastAsia" w:ascii="仿宋_GB2312" w:eastAsia="仿宋_GB2312" w:cs="DejaVuSans"/>
                <w:color w:val="000000" w:themeColor="text1"/>
                <w:kern w:val="0"/>
                <w:sz w:val="32"/>
                <w:szCs w:val="32"/>
                <w14:textFill>
                  <w14:solidFill>
                    <w14:schemeClr w14:val="tx1"/>
                  </w14:solidFill>
                </w14:textFill>
              </w:rPr>
              <w:t>3、围绕福建省无线电管理中的边海电磁频谱管控能力提升中重点、难点问题，通过市场调研和行业调研，研讨会等形式构建桥梁纽带，探索创新工作机制。</w:t>
            </w:r>
          </w:p>
          <w:p>
            <w:pPr>
              <w:autoSpaceDE w:val="0"/>
              <w:autoSpaceDN w:val="0"/>
              <w:adjustRightInd w:val="0"/>
              <w:ind w:left="-2" w:leftChars="-1" w:firstLine="618" w:firstLineChars="220"/>
              <w:rPr>
                <w:rFonts w:ascii="仿宋_GB2312" w:eastAsia="仿宋_GB2312" w:cs="宋体"/>
                <w:b/>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pPr>
              <w:autoSpaceDE w:val="0"/>
              <w:autoSpaceDN w:val="0"/>
              <w:adjustRightInd w:val="0"/>
              <w:spacing w:line="360" w:lineRule="exact"/>
              <w:ind w:left="-143" w:leftChars="-68"/>
              <w:rPr>
                <w:rFonts w:ascii="黑体" w:hAnsi="黑体" w:eastAsia="黑体" w:cs="宋体"/>
                <w:color w:val="000000" w:themeColor="text1"/>
                <w:kern w:val="0"/>
                <w:sz w:val="28"/>
                <w:szCs w:val="28"/>
                <w14:textFill>
                  <w14:solidFill>
                    <w14:schemeClr w14:val="tx1"/>
                  </w14:solidFill>
                </w14:textFill>
              </w:rPr>
            </w:pPr>
            <w:r>
              <w:rPr>
                <w:rFonts w:hint="eastAsia" w:ascii="黑体" w:hAnsi="黑体" w:eastAsia="黑体" w:cs="宋体"/>
                <w:color w:val="000000" w:themeColor="text1"/>
                <w:kern w:val="0"/>
                <w:sz w:val="28"/>
                <w:szCs w:val="28"/>
                <w14:textFill>
                  <w14:solidFill>
                    <w14:schemeClr w14:val="tx1"/>
                  </w14:solidFill>
                </w14:textFill>
              </w:rPr>
              <w:t>四、服务要求</w:t>
            </w:r>
          </w:p>
          <w:p>
            <w:pPr>
              <w:autoSpaceDE w:val="0"/>
              <w:autoSpaceDN w:val="0"/>
              <w:adjustRightInd w:val="0"/>
              <w:spacing w:line="360" w:lineRule="exact"/>
              <w:rPr>
                <w:rFonts w:ascii="仿宋_GB2312" w:eastAsia="仿宋_GB2312" w:cs="宋体"/>
                <w:b/>
                <w:color w:val="000000" w:themeColor="text1"/>
                <w:kern w:val="0"/>
                <w:sz w:val="28"/>
                <w:szCs w:val="28"/>
                <w14:textFill>
                  <w14:solidFill>
                    <w14:schemeClr w14:val="tx1"/>
                  </w14:solidFill>
                </w14:textFill>
              </w:rPr>
            </w:pPr>
          </w:p>
        </w:tc>
        <w:tc>
          <w:tcPr>
            <w:tcW w:w="7909" w:type="dxa"/>
          </w:tcPr>
          <w:p>
            <w:pPr>
              <w:autoSpaceDE w:val="0"/>
              <w:autoSpaceDN w:val="0"/>
              <w:adjustRightInd w:val="0"/>
              <w:ind w:left="-2" w:leftChars="-1" w:firstLine="704" w:firstLineChars="220"/>
              <w:rPr>
                <w:rFonts w:ascii="仿宋_GB2312" w:eastAsia="仿宋_GB2312" w:cs="宋体"/>
                <w:color w:val="000000" w:themeColor="text1"/>
                <w:kern w:val="0"/>
                <w:sz w:val="32"/>
                <w:szCs w:val="32"/>
                <w14:textFill>
                  <w14:solidFill>
                    <w14:schemeClr w14:val="tx1"/>
                  </w14:solidFill>
                </w14:textFill>
              </w:rPr>
            </w:pPr>
            <w:r>
              <w:rPr>
                <w:rFonts w:hint="eastAsia" w:ascii="仿宋_GB2312" w:eastAsia="仿宋_GB2312" w:cs="DejaVuSans"/>
                <w:color w:val="000000" w:themeColor="text1"/>
                <w:kern w:val="0"/>
                <w:sz w:val="32"/>
                <w:szCs w:val="32"/>
                <w14:textFill>
                  <w14:solidFill>
                    <w14:schemeClr w14:val="tx1"/>
                  </w14:solidFill>
                </w14:textFill>
              </w:rPr>
              <w:t>1.</w:t>
            </w:r>
            <w:r>
              <w:rPr>
                <w:rFonts w:hint="eastAsia" w:ascii="仿宋_GB2312" w:eastAsia="仿宋_GB2312" w:cs="宋体"/>
                <w:color w:val="000000" w:themeColor="text1"/>
                <w:kern w:val="0"/>
                <w:sz w:val="32"/>
                <w:szCs w:val="32"/>
                <w14:textFill>
                  <w14:solidFill>
                    <w14:schemeClr w14:val="tx1"/>
                  </w14:solidFill>
                </w14:textFill>
              </w:rPr>
              <w:t>供应商能够针对本项目组建专门的研究团队。</w:t>
            </w:r>
          </w:p>
          <w:p>
            <w:pPr>
              <w:autoSpaceDE w:val="0"/>
              <w:autoSpaceDN w:val="0"/>
              <w:adjustRightInd w:val="0"/>
              <w:ind w:left="-2" w:leftChars="-1" w:firstLine="704" w:firstLineChars="220"/>
              <w:rPr>
                <w:rFonts w:ascii="仿宋_GB2312" w:eastAsia="仿宋_GB2312" w:cs="宋体"/>
                <w:color w:val="000000" w:themeColor="text1"/>
                <w:kern w:val="0"/>
                <w:sz w:val="32"/>
                <w:szCs w:val="32"/>
                <w14:textFill>
                  <w14:solidFill>
                    <w14:schemeClr w14:val="tx1"/>
                  </w14:solidFill>
                </w14:textFill>
              </w:rPr>
            </w:pPr>
            <w:r>
              <w:rPr>
                <w:rFonts w:hint="eastAsia" w:ascii="仿宋_GB2312" w:eastAsia="仿宋_GB2312" w:cs="宋体"/>
                <w:color w:val="000000" w:themeColor="text1"/>
                <w:kern w:val="0"/>
                <w:sz w:val="32"/>
                <w:szCs w:val="32"/>
                <w14:textFill>
                  <w14:solidFill>
                    <w14:schemeClr w14:val="tx1"/>
                  </w14:solidFill>
                </w14:textFill>
              </w:rPr>
              <w:t>2.供应商熟悉无线电</w:t>
            </w:r>
            <w:r>
              <w:rPr>
                <w:rFonts w:hint="eastAsia" w:ascii="仿宋_GB2312" w:eastAsia="仿宋_GB2312" w:cs="宋体"/>
                <w:color w:val="000000" w:themeColor="text1"/>
                <w:kern w:val="0"/>
                <w:sz w:val="32"/>
                <w:szCs w:val="32"/>
                <w:lang w:eastAsia="zh-CN"/>
                <w14:textFill>
                  <w14:solidFill>
                    <w14:schemeClr w14:val="tx1"/>
                  </w14:solidFill>
                </w14:textFill>
              </w:rPr>
              <w:t>管理</w:t>
            </w:r>
            <w:r>
              <w:rPr>
                <w:rFonts w:hint="eastAsia" w:ascii="仿宋_GB2312" w:eastAsia="仿宋_GB2312" w:cs="宋体"/>
                <w:color w:val="000000" w:themeColor="text1"/>
                <w:kern w:val="0"/>
                <w:sz w:val="32"/>
                <w:szCs w:val="32"/>
                <w14:textFill>
                  <w14:solidFill>
                    <w14:schemeClr w14:val="tx1"/>
                  </w14:solidFill>
                </w14:textFill>
              </w:rPr>
              <w:t>有关要求，具备相关技术能力。</w:t>
            </w:r>
          </w:p>
          <w:p>
            <w:pPr>
              <w:autoSpaceDE w:val="0"/>
              <w:autoSpaceDN w:val="0"/>
              <w:adjustRightInd w:val="0"/>
              <w:ind w:left="-2" w:leftChars="-1" w:firstLine="704" w:firstLineChars="220"/>
              <w:rPr>
                <w:rFonts w:ascii="仿宋_GB2312" w:eastAsia="仿宋_GB2312" w:cs="宋体"/>
                <w:color w:val="000000" w:themeColor="text1"/>
                <w:kern w:val="0"/>
                <w:sz w:val="32"/>
                <w:szCs w:val="32"/>
                <w14:textFill>
                  <w14:solidFill>
                    <w14:schemeClr w14:val="tx1"/>
                  </w14:solidFill>
                </w14:textFill>
              </w:rPr>
            </w:pPr>
            <w:r>
              <w:rPr>
                <w:rFonts w:hint="eastAsia" w:ascii="仿宋_GB2312" w:eastAsia="仿宋_GB2312" w:cs="宋体"/>
                <w:color w:val="000000" w:themeColor="text1"/>
                <w:kern w:val="0"/>
                <w:sz w:val="32"/>
                <w:szCs w:val="32"/>
                <w14:textFill>
                  <w14:solidFill>
                    <w14:schemeClr w14:val="tx1"/>
                  </w14:solidFill>
                </w14:textFill>
              </w:rPr>
              <w:t>3.供应商不得将本项目分包或拆包，供应商应根据采购人的要求提供完整的服务。</w:t>
            </w:r>
          </w:p>
          <w:p>
            <w:pPr>
              <w:autoSpaceDE w:val="0"/>
              <w:autoSpaceDN w:val="0"/>
              <w:adjustRightInd w:val="0"/>
              <w:ind w:left="-2" w:leftChars="-1" w:firstLine="704" w:firstLineChars="220"/>
              <w:rPr>
                <w:rFonts w:ascii="仿宋_GB2312" w:eastAsia="仿宋_GB2312" w:cs="宋体"/>
                <w:color w:val="000000" w:themeColor="text1"/>
                <w:kern w:val="0"/>
                <w:sz w:val="32"/>
                <w:szCs w:val="32"/>
                <w14:textFill>
                  <w14:solidFill>
                    <w14:schemeClr w14:val="tx1"/>
                  </w14:solidFill>
                </w14:textFill>
              </w:rPr>
            </w:pPr>
            <w:r>
              <w:rPr>
                <w:rFonts w:hint="eastAsia" w:ascii="仿宋_GB2312" w:eastAsia="仿宋_GB2312" w:cs="宋体"/>
                <w:color w:val="000000" w:themeColor="text1"/>
                <w:kern w:val="0"/>
                <w:sz w:val="32"/>
                <w:szCs w:val="32"/>
                <w:lang w:val="en-US" w:eastAsia="zh-CN"/>
                <w14:textFill>
                  <w14:solidFill>
                    <w14:schemeClr w14:val="tx1"/>
                  </w14:solidFill>
                </w14:textFill>
              </w:rPr>
              <w:t>4</w:t>
            </w:r>
            <w:r>
              <w:rPr>
                <w:rFonts w:hint="eastAsia" w:ascii="仿宋_GB2312" w:eastAsia="仿宋_GB2312" w:cs="宋体"/>
                <w:color w:val="000000" w:themeColor="text1"/>
                <w:kern w:val="0"/>
                <w:sz w:val="32"/>
                <w:szCs w:val="32"/>
                <w14:textFill>
                  <w14:solidFill>
                    <w14:schemeClr w14:val="tx1"/>
                  </w14:solidFill>
                </w14:textFill>
              </w:rPr>
              <w:t>.供应商在实施过程中所形成的有关调查材料，应整理成册归档，以便采购人调阅。</w:t>
            </w:r>
          </w:p>
          <w:p>
            <w:pPr>
              <w:autoSpaceDE w:val="0"/>
              <w:autoSpaceDN w:val="0"/>
              <w:adjustRightInd w:val="0"/>
              <w:ind w:left="-2" w:leftChars="-1" w:firstLine="704" w:firstLineChars="220"/>
              <w:rPr>
                <w:rFonts w:ascii="仿宋_GB2312" w:eastAsia="仿宋_GB2312" w:cs="宋体"/>
                <w:b/>
                <w:color w:val="000000" w:themeColor="text1"/>
                <w:kern w:val="0"/>
                <w:sz w:val="28"/>
                <w:szCs w:val="28"/>
                <w14:textFill>
                  <w14:solidFill>
                    <w14:schemeClr w14:val="tx1"/>
                  </w14:solidFill>
                </w14:textFill>
              </w:rPr>
            </w:pPr>
            <w:r>
              <w:rPr>
                <w:rFonts w:hint="eastAsia" w:ascii="仿宋_GB2312" w:eastAsia="仿宋_GB2312" w:cs="宋体"/>
                <w:color w:val="000000" w:themeColor="text1"/>
                <w:kern w:val="0"/>
                <w:sz w:val="32"/>
                <w:szCs w:val="32"/>
                <w:lang w:val="en-US" w:eastAsia="zh-CN"/>
                <w14:textFill>
                  <w14:solidFill>
                    <w14:schemeClr w14:val="tx1"/>
                  </w14:solidFill>
                </w14:textFill>
              </w:rPr>
              <w:t>5</w:t>
            </w:r>
            <w:r>
              <w:rPr>
                <w:rFonts w:hint="eastAsia" w:ascii="仿宋_GB2312" w:eastAsia="仿宋_GB2312" w:cs="宋体"/>
                <w:color w:val="000000" w:themeColor="text1"/>
                <w:kern w:val="0"/>
                <w:sz w:val="32"/>
                <w:szCs w:val="32"/>
                <w14:textFill>
                  <w14:solidFill>
                    <w14:schemeClr w14:val="tx1"/>
                  </w14:solidFill>
                </w14:textFill>
              </w:rPr>
              <w:t>.供应商对执行本项目过程中知悉的涉密信息严加保密，不得将其知悉的秘密和采购人提供的资料对外泄露。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pPr>
              <w:autoSpaceDE w:val="0"/>
              <w:autoSpaceDN w:val="0"/>
              <w:adjustRightInd w:val="0"/>
              <w:spacing w:line="360" w:lineRule="exact"/>
              <w:ind w:left="-143" w:leftChars="-68"/>
              <w:rPr>
                <w:rFonts w:ascii="黑体" w:hAnsi="黑体" w:eastAsia="黑体" w:cs="宋体"/>
                <w:color w:val="000000" w:themeColor="text1"/>
                <w:kern w:val="0"/>
                <w:sz w:val="28"/>
                <w:szCs w:val="28"/>
                <w14:textFill>
                  <w14:solidFill>
                    <w14:schemeClr w14:val="tx1"/>
                  </w14:solidFill>
                </w14:textFill>
              </w:rPr>
            </w:pPr>
            <w:r>
              <w:rPr>
                <w:rFonts w:hint="eastAsia" w:ascii="黑体" w:hAnsi="黑体" w:eastAsia="黑体" w:cs="宋体"/>
                <w:color w:val="000000" w:themeColor="text1"/>
                <w:kern w:val="0"/>
                <w:sz w:val="28"/>
                <w:szCs w:val="28"/>
                <w14:textFill>
                  <w14:solidFill>
                    <w14:schemeClr w14:val="tx1"/>
                  </w14:solidFill>
                </w14:textFill>
              </w:rPr>
              <w:t>五、项目成果要求</w:t>
            </w:r>
          </w:p>
          <w:p>
            <w:pPr>
              <w:autoSpaceDE w:val="0"/>
              <w:autoSpaceDN w:val="0"/>
              <w:adjustRightInd w:val="0"/>
              <w:spacing w:line="360" w:lineRule="exact"/>
              <w:rPr>
                <w:rFonts w:ascii="仿宋_GB2312" w:eastAsia="仿宋_GB2312" w:cs="宋体"/>
                <w:b/>
                <w:color w:val="000000" w:themeColor="text1"/>
                <w:kern w:val="0"/>
                <w:sz w:val="28"/>
                <w:szCs w:val="28"/>
                <w14:textFill>
                  <w14:solidFill>
                    <w14:schemeClr w14:val="tx1"/>
                  </w14:solidFill>
                </w14:textFill>
              </w:rPr>
            </w:pPr>
          </w:p>
        </w:tc>
        <w:tc>
          <w:tcPr>
            <w:tcW w:w="7909" w:type="dxa"/>
          </w:tcPr>
          <w:p>
            <w:pPr>
              <w:autoSpaceDE w:val="0"/>
              <w:autoSpaceDN w:val="0"/>
              <w:adjustRightInd w:val="0"/>
              <w:ind w:left="-2" w:leftChars="-1" w:firstLine="704" w:firstLineChars="220"/>
              <w:rPr>
                <w:rFonts w:ascii="仿宋_GB2312" w:eastAsia="仿宋_GB2312" w:cs="宋体"/>
                <w:color w:val="000000" w:themeColor="text1"/>
                <w:kern w:val="0"/>
                <w:sz w:val="32"/>
                <w:szCs w:val="32"/>
                <w14:textFill>
                  <w14:solidFill>
                    <w14:schemeClr w14:val="tx1"/>
                  </w14:solidFill>
                </w14:textFill>
              </w:rPr>
            </w:pPr>
            <w:r>
              <w:rPr>
                <w:rFonts w:hint="eastAsia" w:ascii="仿宋_GB2312" w:eastAsia="仿宋_GB2312" w:cs="DejaVuSans"/>
                <w:color w:val="000000" w:themeColor="text1"/>
                <w:kern w:val="0"/>
                <w:sz w:val="32"/>
                <w:szCs w:val="32"/>
                <w14:textFill>
                  <w14:solidFill>
                    <w14:schemeClr w14:val="tx1"/>
                  </w14:solidFill>
                </w14:textFill>
              </w:rPr>
              <w:t>1.</w:t>
            </w:r>
            <w:r>
              <w:rPr>
                <w:rFonts w:hint="eastAsia" w:ascii="仿宋_GB2312" w:eastAsia="仿宋_GB2312" w:cs="宋体"/>
                <w:color w:val="000000" w:themeColor="text1"/>
                <w:kern w:val="0"/>
                <w:sz w:val="32"/>
                <w:szCs w:val="32"/>
                <w14:textFill>
                  <w14:solidFill>
                    <w14:schemeClr w14:val="tx1"/>
                  </w14:solidFill>
                </w14:textFill>
              </w:rPr>
              <w:t>成果构成</w:t>
            </w:r>
          </w:p>
          <w:p>
            <w:pPr>
              <w:autoSpaceDE w:val="0"/>
              <w:autoSpaceDN w:val="0"/>
              <w:adjustRightInd w:val="0"/>
              <w:ind w:left="-2" w:leftChars="-1" w:firstLine="704" w:firstLineChars="220"/>
              <w:rPr>
                <w:rFonts w:ascii="仿宋_GB2312" w:eastAsia="仿宋_GB2312" w:cs="宋体"/>
                <w:color w:val="000000" w:themeColor="text1"/>
                <w:kern w:val="0"/>
                <w:sz w:val="32"/>
                <w:szCs w:val="32"/>
                <w14:textFill>
                  <w14:solidFill>
                    <w14:schemeClr w14:val="tx1"/>
                  </w14:solidFill>
                </w14:textFill>
              </w:rPr>
            </w:pPr>
            <w:r>
              <w:rPr>
                <w:rFonts w:hint="eastAsia" w:ascii="仿宋_GB2312" w:eastAsia="仿宋_GB2312" w:cs="DejaVuSans"/>
                <w:color w:val="000000" w:themeColor="text1"/>
                <w:kern w:val="0"/>
                <w:sz w:val="32"/>
                <w:szCs w:val="32"/>
                <w14:textFill>
                  <w14:solidFill>
                    <w14:schemeClr w14:val="tx1"/>
                  </w14:solidFill>
                </w14:textFill>
              </w:rPr>
              <w:t>形成符合要求</w:t>
            </w:r>
            <w:r>
              <w:rPr>
                <w:rFonts w:hint="eastAsia" w:ascii="仿宋_GB2312" w:eastAsia="仿宋_GB2312" w:cs="DejaVuSans"/>
                <w:color w:val="000000" w:themeColor="text1"/>
                <w:kern w:val="0"/>
                <w:sz w:val="32"/>
                <w:szCs w:val="32"/>
                <w:lang w:eastAsia="zh-CN"/>
                <w14:textFill>
                  <w14:solidFill>
                    <w14:schemeClr w14:val="tx1"/>
                  </w14:solidFill>
                </w14:textFill>
              </w:rPr>
              <w:t>的</w:t>
            </w:r>
            <w:r>
              <w:rPr>
                <w:rFonts w:hint="eastAsia" w:ascii="仿宋_GB2312" w:eastAsia="仿宋_GB2312" w:cs="DejaVuSans"/>
                <w:color w:val="000000" w:themeColor="text1"/>
                <w:kern w:val="0"/>
                <w:sz w:val="32"/>
                <w:szCs w:val="32"/>
                <w14:textFill>
                  <w14:solidFill>
                    <w14:schemeClr w14:val="tx1"/>
                  </w14:solidFill>
                </w14:textFill>
              </w:rPr>
              <w:t>福建省边海电磁频谱管控应用能力研究</w:t>
            </w:r>
            <w:r>
              <w:rPr>
                <w:rFonts w:ascii="仿宋_GB2312" w:eastAsia="仿宋_GB2312" w:cs="DejaVuSans"/>
                <w:color w:val="000000" w:themeColor="text1"/>
                <w:kern w:val="0"/>
                <w:sz w:val="32"/>
                <w:szCs w:val="32"/>
                <w14:textFill>
                  <w14:solidFill>
                    <w14:schemeClr w14:val="tx1"/>
                  </w14:solidFill>
                </w14:textFill>
              </w:rPr>
              <w:t>报告</w:t>
            </w:r>
            <w:r>
              <w:rPr>
                <w:rFonts w:hint="eastAsia" w:ascii="仿宋_GB2312" w:eastAsia="仿宋_GB2312" w:cs="DejaVuSans"/>
                <w:color w:val="000000" w:themeColor="text1"/>
                <w:kern w:val="0"/>
                <w:sz w:val="32"/>
                <w:szCs w:val="32"/>
                <w14:textFill>
                  <w14:solidFill>
                    <w14:schemeClr w14:val="tx1"/>
                  </w14:solidFill>
                </w14:textFill>
              </w:rPr>
              <w:t>并通过专家评审</w:t>
            </w:r>
            <w:r>
              <w:rPr>
                <w:rFonts w:hint="eastAsia" w:ascii="仿宋_GB2312" w:eastAsia="仿宋_GB2312" w:cs="宋体"/>
                <w:color w:val="000000" w:themeColor="text1"/>
                <w:kern w:val="0"/>
                <w:sz w:val="32"/>
                <w:szCs w:val="32"/>
                <w14:textFill>
                  <w14:solidFill>
                    <w14:schemeClr w14:val="tx1"/>
                  </w14:solidFill>
                </w14:textFill>
              </w:rPr>
              <w:t>。</w:t>
            </w:r>
          </w:p>
          <w:p>
            <w:pPr>
              <w:autoSpaceDE w:val="0"/>
              <w:autoSpaceDN w:val="0"/>
              <w:adjustRightInd w:val="0"/>
              <w:ind w:left="-2" w:leftChars="-1" w:firstLine="704" w:firstLineChars="220"/>
              <w:rPr>
                <w:rFonts w:ascii="仿宋_GB2312" w:eastAsia="仿宋_GB2312" w:cs="宋体"/>
                <w:color w:val="000000" w:themeColor="text1"/>
                <w:kern w:val="0"/>
                <w:sz w:val="32"/>
                <w:szCs w:val="32"/>
                <w14:textFill>
                  <w14:solidFill>
                    <w14:schemeClr w14:val="tx1"/>
                  </w14:solidFill>
                </w14:textFill>
              </w:rPr>
            </w:pPr>
            <w:r>
              <w:rPr>
                <w:rFonts w:hint="eastAsia" w:ascii="仿宋_GB2312" w:eastAsia="仿宋_GB2312" w:cs="宋体"/>
                <w:color w:val="000000" w:themeColor="text1"/>
                <w:kern w:val="0"/>
                <w:sz w:val="32"/>
                <w:szCs w:val="32"/>
                <w14:textFill>
                  <w14:solidFill>
                    <w14:schemeClr w14:val="tx1"/>
                  </w14:solidFill>
                </w14:textFill>
              </w:rPr>
              <w:t>2.成果规范</w:t>
            </w:r>
          </w:p>
          <w:p>
            <w:pPr>
              <w:autoSpaceDE w:val="0"/>
              <w:autoSpaceDN w:val="0"/>
              <w:adjustRightInd w:val="0"/>
              <w:ind w:left="-2" w:leftChars="-1" w:firstLine="704" w:firstLineChars="220"/>
              <w:rPr>
                <w:rFonts w:ascii="仿宋_GB2312" w:eastAsia="仿宋_GB2312" w:cs="宋体"/>
                <w:color w:val="000000" w:themeColor="text1"/>
                <w:kern w:val="0"/>
                <w:sz w:val="32"/>
                <w:szCs w:val="32"/>
                <w14:textFill>
                  <w14:solidFill>
                    <w14:schemeClr w14:val="tx1"/>
                  </w14:solidFill>
                </w14:textFill>
              </w:rPr>
            </w:pPr>
            <w:r>
              <w:rPr>
                <w:rFonts w:hint="eastAsia" w:ascii="仿宋_GB2312" w:eastAsia="仿宋_GB2312" w:cs="DejaVuSans"/>
                <w:color w:val="000000" w:themeColor="text1"/>
                <w:kern w:val="0"/>
                <w:sz w:val="32"/>
                <w:szCs w:val="32"/>
                <w14:textFill>
                  <w14:solidFill>
                    <w14:schemeClr w14:val="tx1"/>
                  </w14:solidFill>
                </w14:textFill>
              </w:rPr>
              <w:t>文本文件</w:t>
            </w:r>
            <w:r>
              <w:rPr>
                <w:rFonts w:hint="eastAsia" w:ascii="仿宋_GB2312" w:eastAsia="仿宋_GB2312" w:cs="宋体"/>
                <w:color w:val="000000" w:themeColor="text1"/>
                <w:kern w:val="0"/>
                <w:sz w:val="32"/>
                <w:szCs w:val="32"/>
                <w14:textFill>
                  <w14:solidFill>
                    <w14:schemeClr w14:val="tx1"/>
                  </w14:solidFill>
                </w14:textFill>
              </w:rPr>
              <w:t>必须做到清晰、完整、准确。提交的正式工作成果须加注采购人名称、供应商名称。</w:t>
            </w:r>
          </w:p>
          <w:p>
            <w:pPr>
              <w:autoSpaceDE w:val="0"/>
              <w:autoSpaceDN w:val="0"/>
              <w:adjustRightInd w:val="0"/>
              <w:ind w:left="-2" w:leftChars="-1" w:firstLine="704" w:firstLineChars="220"/>
              <w:rPr>
                <w:rFonts w:ascii="仿宋_GB2312" w:eastAsia="仿宋_GB2312" w:cs="宋体"/>
                <w:color w:val="000000" w:themeColor="text1"/>
                <w:kern w:val="0"/>
                <w:sz w:val="32"/>
                <w:szCs w:val="32"/>
                <w14:textFill>
                  <w14:solidFill>
                    <w14:schemeClr w14:val="tx1"/>
                  </w14:solidFill>
                </w14:textFill>
              </w:rPr>
            </w:pPr>
            <w:r>
              <w:rPr>
                <w:rFonts w:hint="eastAsia" w:ascii="仿宋_GB2312" w:eastAsia="仿宋_GB2312" w:cs="宋体"/>
                <w:color w:val="000000" w:themeColor="text1"/>
                <w:kern w:val="0"/>
                <w:sz w:val="32"/>
                <w:szCs w:val="32"/>
                <w14:textFill>
                  <w14:solidFill>
                    <w14:schemeClr w14:val="tx1"/>
                  </w14:solidFill>
                </w14:textFill>
              </w:rPr>
              <w:t>3.成果格式</w:t>
            </w:r>
          </w:p>
          <w:p>
            <w:pPr>
              <w:autoSpaceDE w:val="0"/>
              <w:autoSpaceDN w:val="0"/>
              <w:adjustRightInd w:val="0"/>
              <w:ind w:left="-2" w:leftChars="-1" w:firstLine="704" w:firstLineChars="220"/>
              <w:rPr>
                <w:rFonts w:hint="eastAsia" w:ascii="仿宋_GB2312" w:eastAsia="仿宋_GB2312" w:cs="宋体"/>
                <w:color w:val="000000" w:themeColor="text1"/>
                <w:kern w:val="0"/>
                <w:sz w:val="32"/>
                <w:szCs w:val="32"/>
                <w14:textFill>
                  <w14:solidFill>
                    <w14:schemeClr w14:val="tx1"/>
                  </w14:solidFill>
                </w14:textFill>
              </w:rPr>
            </w:pPr>
            <w:r>
              <w:rPr>
                <w:rFonts w:hint="eastAsia" w:ascii="仿宋_GB2312" w:eastAsia="仿宋_GB2312" w:cs="宋体"/>
                <w:color w:val="000000" w:themeColor="text1"/>
                <w:kern w:val="0"/>
                <w:sz w:val="32"/>
                <w:szCs w:val="32"/>
                <w14:textFill>
                  <w14:solidFill>
                    <w14:schemeClr w14:val="tx1"/>
                  </w14:solidFill>
                </w14:textFill>
              </w:rPr>
              <w:t>全部成果均应制作计算机数据文件，电子文本文件采用wps格式文件，图形文件采用JPG格式文件，汇报演示文件采用PPT格式，提供研究报告文稿的书面装订文本</w:t>
            </w:r>
            <w:r>
              <w:rPr>
                <w:rFonts w:hint="eastAsia" w:ascii="仿宋_GB2312" w:eastAsia="仿宋_GB2312" w:cs="DejaVuSans"/>
                <w:color w:val="000000" w:themeColor="text1"/>
                <w:kern w:val="0"/>
                <w:sz w:val="32"/>
                <w:szCs w:val="32"/>
                <w14:textFill>
                  <w14:solidFill>
                    <w14:schemeClr w14:val="tx1"/>
                  </w14:solidFill>
                </w14:textFill>
              </w:rPr>
              <w:t>2</w:t>
            </w:r>
            <w:r>
              <w:rPr>
                <w:rFonts w:hint="eastAsia" w:ascii="仿宋_GB2312" w:eastAsia="仿宋_GB2312" w:cs="宋体"/>
                <w:color w:val="000000" w:themeColor="text1"/>
                <w:kern w:val="0"/>
                <w:sz w:val="32"/>
                <w:szCs w:val="32"/>
                <w14:textFill>
                  <w14:solidFill>
                    <w14:schemeClr w14:val="tx1"/>
                  </w14:solidFill>
                </w14:textFill>
              </w:rPr>
              <w:t>份和电子文本</w:t>
            </w:r>
            <w:r>
              <w:rPr>
                <w:rFonts w:hint="eastAsia" w:ascii="仿宋_GB2312" w:eastAsia="仿宋_GB2312" w:cs="DejaVuSans"/>
                <w:color w:val="000000" w:themeColor="text1"/>
                <w:kern w:val="0"/>
                <w:sz w:val="32"/>
                <w:szCs w:val="32"/>
                <w14:textFill>
                  <w14:solidFill>
                    <w14:schemeClr w14:val="tx1"/>
                  </w14:solidFill>
                </w14:textFill>
              </w:rPr>
              <w:t>1</w:t>
            </w:r>
            <w:r>
              <w:rPr>
                <w:rFonts w:hint="eastAsia" w:ascii="仿宋_GB2312" w:eastAsia="仿宋_GB2312" w:cs="宋体"/>
                <w:color w:val="000000" w:themeColor="text1"/>
                <w:kern w:val="0"/>
                <w:sz w:val="32"/>
                <w:szCs w:val="32"/>
                <w14:textFill>
                  <w14:solidFill>
                    <w14:schemeClr w14:val="tx1"/>
                  </w14:solidFill>
                </w14:textFill>
              </w:rPr>
              <w:t>份。</w:t>
            </w:r>
          </w:p>
          <w:p>
            <w:pPr>
              <w:ind w:firstLine="640" w:firstLineChars="200"/>
              <w:rPr>
                <w:rFonts w:hint="eastAsia" w:ascii="仿宋_GB2312" w:eastAsia="仿宋_GB2312" w:cs="宋体"/>
                <w:color w:val="000000" w:themeColor="text1"/>
                <w:kern w:val="0"/>
                <w:sz w:val="32"/>
                <w:szCs w:val="32"/>
                <w:lang w:val="en-US" w:eastAsia="zh-CN"/>
                <w14:textFill>
                  <w14:solidFill>
                    <w14:schemeClr w14:val="tx1"/>
                  </w14:solidFill>
                </w14:textFill>
              </w:rPr>
            </w:pPr>
            <w:r>
              <w:rPr>
                <w:rFonts w:hint="eastAsia" w:ascii="仿宋_GB2312" w:eastAsia="仿宋_GB2312" w:cs="宋体"/>
                <w:color w:val="000000" w:themeColor="text1"/>
                <w:kern w:val="0"/>
                <w:sz w:val="32"/>
                <w:szCs w:val="32"/>
                <w:lang w:val="en-US" w:eastAsia="zh-CN"/>
                <w14:textFill>
                  <w14:solidFill>
                    <w14:schemeClr w14:val="tx1"/>
                  </w14:solidFill>
                </w14:textFill>
              </w:rPr>
              <w:t>4、</w:t>
            </w:r>
            <w:r>
              <w:rPr>
                <w:rFonts w:hint="eastAsia" w:ascii="仿宋_GB2312" w:eastAsia="仿宋_GB2312" w:cs="宋体"/>
                <w:color w:val="000000" w:themeColor="text1"/>
                <w:kern w:val="0"/>
                <w:sz w:val="32"/>
                <w:szCs w:val="32"/>
                <w14:textFill>
                  <w14:solidFill>
                    <w14:schemeClr w14:val="tx1"/>
                  </w14:solidFill>
                </w14:textFill>
              </w:rPr>
              <w:t>研究成果</w:t>
            </w:r>
            <w:r>
              <w:rPr>
                <w:rFonts w:hint="eastAsia" w:ascii="仿宋_GB2312" w:eastAsia="仿宋_GB2312" w:cs="宋体"/>
                <w:color w:val="000000" w:themeColor="text1"/>
                <w:kern w:val="0"/>
                <w:sz w:val="32"/>
                <w:szCs w:val="32"/>
                <w:lang w:eastAsia="zh-CN"/>
                <w14:textFill>
                  <w14:solidFill>
                    <w14:schemeClr w14:val="tx1"/>
                  </w14:solidFill>
                </w14:textFill>
              </w:rPr>
              <w:t>归</w:t>
            </w:r>
            <w:r>
              <w:rPr>
                <w:rFonts w:hint="eastAsia" w:ascii="仿宋_GB2312" w:eastAsia="仿宋_GB2312" w:cs="宋体"/>
                <w:color w:val="000000" w:themeColor="text1"/>
                <w:kern w:val="0"/>
                <w:sz w:val="32"/>
                <w:szCs w:val="32"/>
                <w14:textFill>
                  <w14:solidFill>
                    <w14:schemeClr w14:val="tx1"/>
                  </w14:solidFill>
                </w14:textFill>
              </w:rPr>
              <w:t>福建省无线电监测站所有。文字责任由课题承担单位负责。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pPr>
              <w:autoSpaceDE w:val="0"/>
              <w:autoSpaceDN w:val="0"/>
              <w:adjustRightInd w:val="0"/>
              <w:spacing w:line="360" w:lineRule="exact"/>
              <w:ind w:left="-143" w:leftChars="-68"/>
              <w:rPr>
                <w:rFonts w:ascii="黑体" w:hAnsi="黑体" w:eastAsia="黑体" w:cs="宋体"/>
                <w:color w:val="000000" w:themeColor="text1"/>
                <w:kern w:val="0"/>
                <w:sz w:val="28"/>
                <w:szCs w:val="28"/>
                <w14:textFill>
                  <w14:solidFill>
                    <w14:schemeClr w14:val="tx1"/>
                  </w14:solidFill>
                </w14:textFill>
              </w:rPr>
            </w:pPr>
            <w:r>
              <w:rPr>
                <w:rFonts w:hint="eastAsia" w:ascii="黑体" w:hAnsi="黑体" w:eastAsia="黑体" w:cs="宋体"/>
                <w:color w:val="000000" w:themeColor="text1"/>
                <w:kern w:val="0"/>
                <w:sz w:val="28"/>
                <w:szCs w:val="28"/>
                <w14:textFill>
                  <w14:solidFill>
                    <w14:schemeClr w14:val="tx1"/>
                  </w14:solidFill>
                </w14:textFill>
              </w:rPr>
              <w:t>六、附则</w:t>
            </w:r>
          </w:p>
          <w:p>
            <w:pPr>
              <w:autoSpaceDE w:val="0"/>
              <w:autoSpaceDN w:val="0"/>
              <w:adjustRightInd w:val="0"/>
              <w:spacing w:line="360" w:lineRule="exact"/>
              <w:rPr>
                <w:rFonts w:ascii="仿宋_GB2312" w:eastAsia="仿宋_GB2312" w:cs="宋体"/>
                <w:b/>
                <w:color w:val="000000" w:themeColor="text1"/>
                <w:kern w:val="0"/>
                <w:sz w:val="28"/>
                <w:szCs w:val="28"/>
                <w14:textFill>
                  <w14:solidFill>
                    <w14:schemeClr w14:val="tx1"/>
                  </w14:solidFill>
                </w14:textFill>
              </w:rPr>
            </w:pPr>
          </w:p>
        </w:tc>
        <w:tc>
          <w:tcPr>
            <w:tcW w:w="7909" w:type="dxa"/>
          </w:tcPr>
          <w:p>
            <w:pPr>
              <w:autoSpaceDE w:val="0"/>
              <w:autoSpaceDN w:val="0"/>
              <w:adjustRightInd w:val="0"/>
              <w:ind w:left="-2" w:leftChars="-1" w:firstLine="704" w:firstLineChars="220"/>
              <w:rPr>
                <w:rFonts w:ascii="仿宋_GB2312" w:eastAsia="仿宋_GB2312" w:cs="DejaVuSans"/>
                <w:color w:val="000000" w:themeColor="text1"/>
                <w:kern w:val="0"/>
                <w:sz w:val="32"/>
                <w:szCs w:val="32"/>
                <w14:textFill>
                  <w14:solidFill>
                    <w14:schemeClr w14:val="tx1"/>
                  </w14:solidFill>
                </w14:textFill>
              </w:rPr>
            </w:pPr>
            <w:r>
              <w:rPr>
                <w:rFonts w:hint="eastAsia" w:ascii="仿宋_GB2312" w:eastAsia="仿宋_GB2312" w:cs="DejaVuSans"/>
                <w:color w:val="000000" w:themeColor="text1"/>
                <w:kern w:val="0"/>
                <w:sz w:val="32"/>
                <w:szCs w:val="32"/>
                <w14:textFill>
                  <w14:solidFill>
                    <w14:schemeClr w14:val="tx1"/>
                  </w14:solidFill>
                </w14:textFill>
              </w:rPr>
              <w:t>1.公开展示的限制</w:t>
            </w:r>
          </w:p>
          <w:p>
            <w:pPr>
              <w:autoSpaceDE w:val="0"/>
              <w:autoSpaceDN w:val="0"/>
              <w:adjustRightInd w:val="0"/>
              <w:ind w:left="-2" w:leftChars="-1" w:firstLine="704" w:firstLineChars="220"/>
              <w:rPr>
                <w:rFonts w:ascii="仿宋_GB2312" w:eastAsia="仿宋_GB2312" w:cs="DejaVuSans"/>
                <w:color w:val="000000" w:themeColor="text1"/>
                <w:kern w:val="0"/>
                <w:sz w:val="32"/>
                <w:szCs w:val="32"/>
                <w14:textFill>
                  <w14:solidFill>
                    <w14:schemeClr w14:val="tx1"/>
                  </w14:solidFill>
                </w14:textFill>
              </w:rPr>
            </w:pPr>
            <w:r>
              <w:rPr>
                <w:rFonts w:hint="eastAsia" w:ascii="仿宋_GB2312" w:eastAsia="仿宋_GB2312" w:cs="DejaVuSans"/>
                <w:color w:val="000000" w:themeColor="text1"/>
                <w:kern w:val="0"/>
                <w:sz w:val="32"/>
                <w:szCs w:val="32"/>
                <w14:textFill>
                  <w14:solidFill>
                    <w14:schemeClr w14:val="tx1"/>
                  </w14:solidFill>
                </w14:textFill>
              </w:rPr>
              <w:t>任何单位和个人未经采</w:t>
            </w:r>
            <w:bookmarkStart w:id="0" w:name="_GoBack"/>
            <w:bookmarkEnd w:id="0"/>
            <w:r>
              <w:rPr>
                <w:rFonts w:hint="eastAsia" w:ascii="仿宋_GB2312" w:eastAsia="仿宋_GB2312" w:cs="DejaVuSans"/>
                <w:color w:val="000000" w:themeColor="text1"/>
                <w:kern w:val="0"/>
                <w:sz w:val="32"/>
                <w:szCs w:val="32"/>
                <w14:textFill>
                  <w14:solidFill>
                    <w14:schemeClr w14:val="tx1"/>
                  </w14:solidFill>
                </w14:textFill>
              </w:rPr>
              <w:t>购人同意都无权以任何形式向社会公开展示研究成果。</w:t>
            </w:r>
          </w:p>
          <w:p>
            <w:pPr>
              <w:autoSpaceDE w:val="0"/>
              <w:autoSpaceDN w:val="0"/>
              <w:adjustRightInd w:val="0"/>
              <w:ind w:left="-2" w:leftChars="-1" w:firstLine="704" w:firstLineChars="220"/>
              <w:rPr>
                <w:rFonts w:ascii="仿宋_GB2312" w:eastAsia="仿宋_GB2312" w:cs="DejaVuSans"/>
                <w:color w:val="000000" w:themeColor="text1"/>
                <w:kern w:val="0"/>
                <w:sz w:val="32"/>
                <w:szCs w:val="32"/>
                <w14:textFill>
                  <w14:solidFill>
                    <w14:schemeClr w14:val="tx1"/>
                  </w14:solidFill>
                </w14:textFill>
              </w:rPr>
            </w:pPr>
            <w:r>
              <w:rPr>
                <w:rFonts w:hint="eastAsia" w:ascii="仿宋_GB2312" w:eastAsia="仿宋_GB2312" w:cs="DejaVuSans"/>
                <w:color w:val="000000" w:themeColor="text1"/>
                <w:kern w:val="0"/>
                <w:sz w:val="32"/>
                <w:szCs w:val="32"/>
                <w14:textFill>
                  <w14:solidFill>
                    <w14:schemeClr w14:val="tx1"/>
                  </w14:solidFill>
                </w14:textFill>
              </w:rPr>
              <w:t>2.解释权</w:t>
            </w:r>
          </w:p>
          <w:p>
            <w:pPr>
              <w:autoSpaceDE w:val="0"/>
              <w:autoSpaceDN w:val="0"/>
              <w:adjustRightInd w:val="0"/>
              <w:ind w:left="-2" w:leftChars="-1" w:firstLine="704" w:firstLineChars="220"/>
              <w:rPr>
                <w:rFonts w:ascii="仿宋_GB2312" w:eastAsia="仿宋_GB2312" w:cs="DejaVuSans"/>
                <w:color w:val="000000" w:themeColor="text1"/>
                <w:kern w:val="0"/>
                <w:sz w:val="32"/>
                <w:szCs w:val="32"/>
                <w14:textFill>
                  <w14:solidFill>
                    <w14:schemeClr w14:val="tx1"/>
                  </w14:solidFill>
                </w14:textFill>
              </w:rPr>
            </w:pPr>
            <w:r>
              <w:rPr>
                <w:rFonts w:hint="eastAsia" w:ascii="仿宋_GB2312" w:eastAsia="仿宋_GB2312" w:cs="DejaVuSans"/>
                <w:color w:val="000000" w:themeColor="text1"/>
                <w:kern w:val="0"/>
                <w:sz w:val="32"/>
                <w:szCs w:val="32"/>
                <w14:textFill>
                  <w14:solidFill>
                    <w14:schemeClr w14:val="tx1"/>
                  </w14:solidFill>
                </w14:textFill>
              </w:rPr>
              <w:t>本需求书解释权归采购人所有。</w:t>
            </w:r>
          </w:p>
        </w:tc>
      </w:tr>
    </w:tbl>
    <w:p>
      <w:pPr>
        <w:rPr>
          <w:rFonts w:ascii="宋体" w:eastAsia="宋体" w:cs="宋体"/>
          <w:kern w:val="0"/>
          <w:sz w:val="19"/>
          <w:szCs w:val="19"/>
        </w:rPr>
      </w:pPr>
    </w:p>
    <w:p>
      <w:pPr>
        <w:pStyle w:val="8"/>
        <w:numPr>
          <w:ilvl w:val="0"/>
          <w:numId w:val="1"/>
        </w:numPr>
        <w:autoSpaceDE w:val="0"/>
        <w:autoSpaceDN w:val="0"/>
        <w:adjustRightInd w:val="0"/>
        <w:ind w:left="567" w:hanging="142" w:firstLineChars="0"/>
        <w:jc w:val="left"/>
        <w:rPr>
          <w:rFonts w:ascii="黑体" w:hAnsi="黑体" w:eastAsia="黑体" w:cs="宋体"/>
          <w:kern w:val="0"/>
          <w:sz w:val="32"/>
          <w:szCs w:val="32"/>
        </w:rPr>
      </w:pPr>
      <w:r>
        <w:rPr>
          <w:rFonts w:hint="eastAsia" w:ascii="黑体" w:hAnsi="黑体" w:eastAsia="黑体" w:cs="宋体"/>
          <w:kern w:val="0"/>
          <w:sz w:val="32"/>
          <w:szCs w:val="32"/>
        </w:rPr>
        <w:t>主要商务要求</w:t>
      </w:r>
    </w:p>
    <w:p>
      <w:pPr>
        <w:pStyle w:val="8"/>
        <w:numPr>
          <w:ilvl w:val="0"/>
          <w:numId w:val="2"/>
        </w:numPr>
        <w:ind w:firstLineChars="0"/>
        <w:rPr>
          <w:rFonts w:ascii="楷体" w:hAnsi="楷体" w:eastAsia="楷体"/>
          <w:b/>
          <w:sz w:val="32"/>
          <w:szCs w:val="32"/>
        </w:rPr>
      </w:pPr>
      <w:r>
        <w:rPr>
          <w:rFonts w:hint="eastAsia" w:ascii="楷体" w:hAnsi="楷体" w:eastAsia="楷体"/>
          <w:b/>
          <w:sz w:val="32"/>
          <w:szCs w:val="32"/>
        </w:rPr>
        <w:t>标的提供的时间</w:t>
      </w:r>
    </w:p>
    <w:p>
      <w:pPr>
        <w:ind w:firstLine="646" w:firstLineChars="202"/>
        <w:rPr>
          <w:rFonts w:ascii="仿宋_GB2312" w:eastAsia="仿宋_GB2312"/>
          <w:sz w:val="32"/>
          <w:szCs w:val="32"/>
        </w:rPr>
      </w:pPr>
      <w:r>
        <w:rPr>
          <w:rFonts w:hint="eastAsia" w:ascii="仿宋_GB2312" w:eastAsia="仿宋_GB2312"/>
          <w:sz w:val="32"/>
          <w:szCs w:val="32"/>
        </w:rPr>
        <w:t>签订合同后至2024年1</w:t>
      </w:r>
      <w:r>
        <w:rPr>
          <w:rFonts w:hint="eastAsia" w:ascii="仿宋_GB2312" w:eastAsia="仿宋_GB2312"/>
          <w:sz w:val="32"/>
          <w:szCs w:val="32"/>
          <w:lang w:val="en-US" w:eastAsia="zh-CN"/>
        </w:rPr>
        <w:t>0</w:t>
      </w:r>
      <w:r>
        <w:rPr>
          <w:rFonts w:hint="eastAsia" w:ascii="仿宋_GB2312" w:eastAsia="仿宋_GB2312"/>
          <w:sz w:val="32"/>
          <w:szCs w:val="32"/>
        </w:rPr>
        <w:t>月31日。</w:t>
      </w:r>
    </w:p>
    <w:p>
      <w:pPr>
        <w:pStyle w:val="8"/>
        <w:numPr>
          <w:ilvl w:val="0"/>
          <w:numId w:val="2"/>
        </w:numPr>
        <w:ind w:firstLineChars="0"/>
        <w:rPr>
          <w:rFonts w:ascii="楷体" w:hAnsi="楷体" w:eastAsia="楷体"/>
          <w:b/>
          <w:sz w:val="32"/>
          <w:szCs w:val="32"/>
        </w:rPr>
      </w:pPr>
      <w:r>
        <w:rPr>
          <w:rFonts w:hint="eastAsia" w:ascii="楷体" w:hAnsi="楷体" w:eastAsia="楷体"/>
          <w:b/>
          <w:sz w:val="32"/>
          <w:szCs w:val="32"/>
        </w:rPr>
        <w:t>验收要求</w:t>
      </w:r>
    </w:p>
    <w:p>
      <w:pPr>
        <w:ind w:firstLine="646" w:firstLineChars="202"/>
        <w:rPr>
          <w:rFonts w:hint="eastAsia" w:ascii="仿宋_GB2312" w:eastAsia="仿宋_GB2312"/>
          <w:sz w:val="32"/>
          <w:szCs w:val="32"/>
        </w:rPr>
      </w:pPr>
      <w:r>
        <w:rPr>
          <w:rFonts w:hint="eastAsia" w:ascii="仿宋_GB2312" w:eastAsia="仿宋_GB2312"/>
          <w:sz w:val="32"/>
          <w:szCs w:val="32"/>
        </w:rPr>
        <w:t>1、供应商应保质保量按时按约完成项目合同规定的各项工作，并于项目结题时按要求如实填写项目验收报告书。</w:t>
      </w:r>
    </w:p>
    <w:p>
      <w:pPr>
        <w:ind w:firstLine="646" w:firstLineChars="202"/>
        <w:rPr>
          <w:rFonts w:hint="eastAsia" w:ascii="仿宋_GB2312" w:eastAsia="仿宋_GB2312"/>
          <w:sz w:val="32"/>
          <w:szCs w:val="32"/>
        </w:rPr>
      </w:pPr>
      <w:r>
        <w:rPr>
          <w:rFonts w:hint="eastAsia" w:ascii="仿宋_GB2312" w:eastAsia="仿宋_GB2312"/>
          <w:sz w:val="32"/>
          <w:szCs w:val="32"/>
        </w:rPr>
        <w:t>2、相关佐证材料应随项目验收报告书一起递交。</w:t>
      </w:r>
      <w:r>
        <w:rPr>
          <w:rFonts w:hint="eastAsia" w:ascii="仿宋_GB2312" w:eastAsia="仿宋_GB2312"/>
          <w:sz w:val="32"/>
          <w:szCs w:val="32"/>
          <w:lang w:eastAsia="zh-CN"/>
        </w:rPr>
        <w:t>调查报告等材料</w:t>
      </w:r>
      <w:r>
        <w:rPr>
          <w:rFonts w:hint="eastAsia" w:ascii="仿宋_GB2312" w:eastAsia="仿宋_GB2312"/>
          <w:sz w:val="32"/>
          <w:szCs w:val="32"/>
        </w:rPr>
        <w:t>应实事求是，能与佐证材料互相印证，切勿夸大或遗漏。</w:t>
      </w:r>
    </w:p>
    <w:p>
      <w:pPr>
        <w:ind w:firstLine="646" w:firstLineChars="202"/>
        <w:rPr>
          <w:rFonts w:hint="eastAsia" w:ascii="仿宋_GB2312" w:eastAsia="仿宋_GB2312"/>
          <w:sz w:val="32"/>
          <w:szCs w:val="32"/>
        </w:rPr>
      </w:pPr>
      <w:r>
        <w:rPr>
          <w:rFonts w:hint="eastAsia" w:ascii="仿宋_GB2312" w:eastAsia="仿宋_GB2312"/>
          <w:sz w:val="32"/>
          <w:szCs w:val="32"/>
        </w:rPr>
        <w:t>3、采购人将</w:t>
      </w:r>
      <w:r>
        <w:rPr>
          <w:rFonts w:hint="eastAsia" w:ascii="仿宋_GB2312" w:eastAsia="仿宋_GB2312"/>
          <w:sz w:val="32"/>
          <w:szCs w:val="32"/>
          <w:lang w:eastAsia="zh-CN"/>
        </w:rPr>
        <w:t>组织专家组</w:t>
      </w:r>
      <w:r>
        <w:rPr>
          <w:rFonts w:hint="eastAsia" w:ascii="仿宋_GB2312" w:eastAsia="仿宋_GB2312"/>
          <w:sz w:val="32"/>
          <w:szCs w:val="32"/>
        </w:rPr>
        <w:t>进行验收评估</w:t>
      </w:r>
      <w:r>
        <w:rPr>
          <w:rFonts w:hint="eastAsia" w:ascii="仿宋_GB2312" w:eastAsia="仿宋_GB2312"/>
          <w:sz w:val="32"/>
          <w:szCs w:val="32"/>
          <w:lang w:eastAsia="zh-CN"/>
        </w:rPr>
        <w:t>，验收相关费用包含在投标总价中</w:t>
      </w:r>
      <w:r>
        <w:rPr>
          <w:rFonts w:hint="eastAsia" w:ascii="仿宋_GB2312" w:eastAsia="仿宋_GB2312"/>
          <w:sz w:val="32"/>
          <w:szCs w:val="32"/>
        </w:rPr>
        <w:t>。对验收评估通过的项目，采购人将按照合同如期支付尾款。</w:t>
      </w:r>
    </w:p>
    <w:p>
      <w:pPr>
        <w:ind w:firstLine="646" w:firstLineChars="202"/>
        <w:rPr>
          <w:rFonts w:hint="eastAsia" w:ascii="仿宋_GB2312" w:eastAsia="仿宋_GB2312"/>
          <w:sz w:val="32"/>
          <w:szCs w:val="32"/>
        </w:rPr>
      </w:pPr>
      <w:r>
        <w:rPr>
          <w:rFonts w:hint="eastAsia" w:ascii="仿宋_GB2312" w:eastAsia="仿宋_GB2312"/>
          <w:sz w:val="32"/>
          <w:szCs w:val="32"/>
        </w:rPr>
        <w:t>4、对验收未通过的项目，将按合同约定要求供应商限期整改。对无法整改或整改后仍未达到合同要求的项目，将按验收不通过处罚，具体措施以合同规定为准。</w:t>
      </w:r>
    </w:p>
    <w:p>
      <w:pPr>
        <w:pStyle w:val="8"/>
        <w:numPr>
          <w:ilvl w:val="0"/>
          <w:numId w:val="2"/>
        </w:numPr>
        <w:ind w:firstLineChars="0"/>
        <w:rPr>
          <w:rFonts w:ascii="楷体" w:hAnsi="楷体" w:eastAsia="楷体"/>
          <w:b/>
          <w:sz w:val="32"/>
          <w:szCs w:val="32"/>
        </w:rPr>
      </w:pPr>
      <w:r>
        <w:rPr>
          <w:rFonts w:hint="eastAsia" w:ascii="楷体" w:hAnsi="楷体" w:eastAsia="楷体"/>
          <w:b/>
          <w:sz w:val="32"/>
          <w:szCs w:val="32"/>
        </w:rPr>
        <w:t>付款方式</w:t>
      </w:r>
    </w:p>
    <w:p>
      <w:pPr>
        <w:ind w:firstLine="646" w:firstLineChars="202"/>
        <w:rPr>
          <w:rFonts w:ascii="仿宋_GB2312" w:eastAsia="仿宋_GB2312"/>
          <w:sz w:val="32"/>
          <w:szCs w:val="32"/>
        </w:rPr>
      </w:pPr>
      <w:r>
        <w:rPr>
          <w:rFonts w:ascii="仿宋_GB2312" w:eastAsia="仿宋_GB2312"/>
          <w:sz w:val="32"/>
          <w:szCs w:val="32"/>
        </w:rPr>
        <w:t>1期：支付比例80%，采购人与供应商签订合同，采购人交付经专家评审通过的可行性研究报告，并向采购人提供相应的发票及支付文件后5个工作日内，采购人向供应商支付合同金额80%的合同款；</w:t>
      </w:r>
    </w:p>
    <w:p>
      <w:pPr>
        <w:ind w:firstLine="646" w:firstLineChars="202"/>
        <w:rPr>
          <w:rFonts w:ascii="仿宋_GB2312" w:eastAsia="仿宋_GB2312"/>
          <w:sz w:val="32"/>
          <w:szCs w:val="32"/>
        </w:rPr>
      </w:pPr>
      <w:r>
        <w:rPr>
          <w:rFonts w:ascii="仿宋_GB2312" w:eastAsia="仿宋_GB2312"/>
          <w:sz w:val="32"/>
          <w:szCs w:val="32"/>
        </w:rPr>
        <w:t>2期：支付比例20%，供应商</w:t>
      </w:r>
      <w:r>
        <w:rPr>
          <w:rFonts w:hint="eastAsia" w:ascii="仿宋_GB2312" w:eastAsia="仿宋_GB2312"/>
          <w:sz w:val="32"/>
          <w:szCs w:val="32"/>
          <w:lang w:eastAsia="zh-CN"/>
        </w:rPr>
        <w:t>根据评审意见完成整改（如有）提交最终课题研究报告，依照项目档案管理相关要求做好项目档案整理交付采购人</w:t>
      </w:r>
      <w:r>
        <w:rPr>
          <w:rFonts w:ascii="仿宋_GB2312" w:eastAsia="仿宋_GB2312"/>
          <w:sz w:val="32"/>
          <w:szCs w:val="32"/>
        </w:rPr>
        <w:t>，并向采购人提供相应的发票及支付文件后5个工作日内，采购人向供应商支付合同金额20%的合同款。</w:t>
      </w:r>
    </w:p>
    <w:p>
      <w:pPr>
        <w:pStyle w:val="8"/>
        <w:numPr>
          <w:ilvl w:val="0"/>
          <w:numId w:val="2"/>
        </w:numPr>
        <w:ind w:firstLineChars="0"/>
        <w:rPr>
          <w:rFonts w:ascii="楷体" w:hAnsi="楷体" w:eastAsia="楷体"/>
          <w:b/>
          <w:sz w:val="32"/>
          <w:szCs w:val="32"/>
        </w:rPr>
      </w:pPr>
      <w:r>
        <w:rPr>
          <w:rFonts w:hint="eastAsia" w:ascii="楷体" w:hAnsi="楷体" w:eastAsia="楷体"/>
          <w:b/>
          <w:sz w:val="32"/>
          <w:szCs w:val="32"/>
        </w:rPr>
        <w:t>履约保证金</w:t>
      </w:r>
    </w:p>
    <w:p>
      <w:pPr>
        <w:ind w:firstLine="646" w:firstLineChars="202"/>
        <w:rPr>
          <w:rFonts w:ascii="仿宋_GB2312" w:eastAsia="仿宋_GB2312"/>
          <w:sz w:val="32"/>
          <w:szCs w:val="32"/>
        </w:rPr>
      </w:pPr>
      <w:r>
        <w:rPr>
          <w:rFonts w:hint="eastAsia" w:ascii="仿宋_GB2312" w:eastAsia="仿宋_GB2312"/>
          <w:sz w:val="32"/>
          <w:szCs w:val="32"/>
        </w:rPr>
        <w:t>不收取。</w:t>
      </w:r>
    </w:p>
    <w:p>
      <w:pPr>
        <w:ind w:firstLine="646" w:firstLineChars="202"/>
        <w:rPr>
          <w:rFonts w:ascii="仿宋_GB2312" w:eastAsia="仿宋_GB2312"/>
          <w:sz w:val="32"/>
          <w:szCs w:val="32"/>
        </w:rPr>
      </w:pPr>
    </w:p>
    <w:sectPr>
      <w:pgSz w:w="11906" w:h="16838"/>
      <w:pgMar w:top="1440" w:right="1700"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DejaVuSans">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A361C9"/>
    <w:multiLevelType w:val="multilevel"/>
    <w:tmpl w:val="3DA361C9"/>
    <w:lvl w:ilvl="0" w:tentative="0">
      <w:start w:val="1"/>
      <w:numFmt w:val="japaneseCounting"/>
      <w:lvlText w:val="（%1）"/>
      <w:lvlJc w:val="left"/>
      <w:pPr>
        <w:ind w:left="1140" w:hanging="720"/>
      </w:pPr>
      <w:rPr>
        <w:rFonts w:hint="default" w:ascii="楷体" w:hAnsi="楷体" w:eastAsia="楷体"/>
        <w:b w:val="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5E9E123E"/>
    <w:multiLevelType w:val="multilevel"/>
    <w:tmpl w:val="5E9E123E"/>
    <w:lvl w:ilvl="0" w:tentative="0">
      <w:start w:val="1"/>
      <w:numFmt w:val="japaneseCounting"/>
      <w:lvlText w:val="%1、"/>
      <w:lvlJc w:val="left"/>
      <w:pPr>
        <w:ind w:left="2810" w:hanging="720"/>
      </w:pPr>
      <w:rPr>
        <w:rFonts w:hint="default" w:ascii="黑体" w:hAnsi="黑体" w:eastAsia="黑体"/>
        <w:sz w:val="32"/>
        <w:szCs w:val="32"/>
      </w:rPr>
    </w:lvl>
    <w:lvl w:ilvl="1" w:tentative="0">
      <w:start w:val="1"/>
      <w:numFmt w:val="lowerLetter"/>
      <w:lvlText w:val="%2)"/>
      <w:lvlJc w:val="left"/>
      <w:pPr>
        <w:ind w:left="2930" w:hanging="420"/>
      </w:pPr>
    </w:lvl>
    <w:lvl w:ilvl="2" w:tentative="0">
      <w:start w:val="1"/>
      <w:numFmt w:val="lowerRoman"/>
      <w:lvlText w:val="%3."/>
      <w:lvlJc w:val="right"/>
      <w:pPr>
        <w:ind w:left="3350" w:hanging="420"/>
      </w:pPr>
    </w:lvl>
    <w:lvl w:ilvl="3" w:tentative="0">
      <w:start w:val="1"/>
      <w:numFmt w:val="decimal"/>
      <w:lvlText w:val="%4."/>
      <w:lvlJc w:val="left"/>
      <w:pPr>
        <w:ind w:left="3770" w:hanging="420"/>
      </w:pPr>
    </w:lvl>
    <w:lvl w:ilvl="4" w:tentative="0">
      <w:start w:val="1"/>
      <w:numFmt w:val="lowerLetter"/>
      <w:lvlText w:val="%5)"/>
      <w:lvlJc w:val="left"/>
      <w:pPr>
        <w:ind w:left="4190" w:hanging="420"/>
      </w:pPr>
    </w:lvl>
    <w:lvl w:ilvl="5" w:tentative="0">
      <w:start w:val="1"/>
      <w:numFmt w:val="lowerRoman"/>
      <w:lvlText w:val="%6."/>
      <w:lvlJc w:val="right"/>
      <w:pPr>
        <w:ind w:left="4610" w:hanging="420"/>
      </w:pPr>
    </w:lvl>
    <w:lvl w:ilvl="6" w:tentative="0">
      <w:start w:val="1"/>
      <w:numFmt w:val="decimal"/>
      <w:lvlText w:val="%7."/>
      <w:lvlJc w:val="left"/>
      <w:pPr>
        <w:ind w:left="5030" w:hanging="420"/>
      </w:pPr>
    </w:lvl>
    <w:lvl w:ilvl="7" w:tentative="0">
      <w:start w:val="1"/>
      <w:numFmt w:val="lowerLetter"/>
      <w:lvlText w:val="%8)"/>
      <w:lvlJc w:val="left"/>
      <w:pPr>
        <w:ind w:left="5450" w:hanging="420"/>
      </w:pPr>
    </w:lvl>
    <w:lvl w:ilvl="8" w:tentative="0">
      <w:start w:val="1"/>
      <w:numFmt w:val="lowerRoman"/>
      <w:lvlText w:val="%9."/>
      <w:lvlJc w:val="right"/>
      <w:pPr>
        <w:ind w:left="587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mOWY1ZTQ2ZDI3MDlhM2VmNzA5M2VlM2QxYjRhOTMifQ=="/>
  </w:docVars>
  <w:rsids>
    <w:rsidRoot w:val="00F65EA9"/>
    <w:rsid w:val="0002086A"/>
    <w:rsid w:val="0003425E"/>
    <w:rsid w:val="00055C5A"/>
    <w:rsid w:val="000577F8"/>
    <w:rsid w:val="00082B86"/>
    <w:rsid w:val="000B1084"/>
    <w:rsid w:val="000B59AF"/>
    <w:rsid w:val="000C04DA"/>
    <w:rsid w:val="000D72A8"/>
    <w:rsid w:val="00105AE6"/>
    <w:rsid w:val="00116098"/>
    <w:rsid w:val="00130503"/>
    <w:rsid w:val="001819E3"/>
    <w:rsid w:val="001C5FFF"/>
    <w:rsid w:val="001E6043"/>
    <w:rsid w:val="00225916"/>
    <w:rsid w:val="0022624D"/>
    <w:rsid w:val="002D4B9D"/>
    <w:rsid w:val="002E169A"/>
    <w:rsid w:val="00335717"/>
    <w:rsid w:val="003372EC"/>
    <w:rsid w:val="00345E77"/>
    <w:rsid w:val="00361805"/>
    <w:rsid w:val="003A2404"/>
    <w:rsid w:val="003B23B2"/>
    <w:rsid w:val="003C07A0"/>
    <w:rsid w:val="00400A31"/>
    <w:rsid w:val="00402577"/>
    <w:rsid w:val="004063FA"/>
    <w:rsid w:val="004144EA"/>
    <w:rsid w:val="00424B8E"/>
    <w:rsid w:val="00443F44"/>
    <w:rsid w:val="00462169"/>
    <w:rsid w:val="004705C6"/>
    <w:rsid w:val="00486F90"/>
    <w:rsid w:val="0049528D"/>
    <w:rsid w:val="004A454B"/>
    <w:rsid w:val="004D6136"/>
    <w:rsid w:val="004F2A1C"/>
    <w:rsid w:val="004F7E55"/>
    <w:rsid w:val="00500C01"/>
    <w:rsid w:val="0052357D"/>
    <w:rsid w:val="005C1480"/>
    <w:rsid w:val="005D17A9"/>
    <w:rsid w:val="00614E5C"/>
    <w:rsid w:val="00626AD9"/>
    <w:rsid w:val="006579B5"/>
    <w:rsid w:val="00672A67"/>
    <w:rsid w:val="00691D40"/>
    <w:rsid w:val="006A3BA9"/>
    <w:rsid w:val="006A7CF3"/>
    <w:rsid w:val="006B0C16"/>
    <w:rsid w:val="007035B1"/>
    <w:rsid w:val="007162EA"/>
    <w:rsid w:val="00724DCF"/>
    <w:rsid w:val="00736AFD"/>
    <w:rsid w:val="007413E5"/>
    <w:rsid w:val="00750C0B"/>
    <w:rsid w:val="00765425"/>
    <w:rsid w:val="00772C21"/>
    <w:rsid w:val="00775021"/>
    <w:rsid w:val="00797C74"/>
    <w:rsid w:val="007E1C13"/>
    <w:rsid w:val="00816DF8"/>
    <w:rsid w:val="0083060C"/>
    <w:rsid w:val="008413FB"/>
    <w:rsid w:val="00855AA0"/>
    <w:rsid w:val="008A06F9"/>
    <w:rsid w:val="008C1744"/>
    <w:rsid w:val="008E719E"/>
    <w:rsid w:val="0090401B"/>
    <w:rsid w:val="00907DEE"/>
    <w:rsid w:val="00907E64"/>
    <w:rsid w:val="009158D2"/>
    <w:rsid w:val="00927B45"/>
    <w:rsid w:val="0093106E"/>
    <w:rsid w:val="00936BA1"/>
    <w:rsid w:val="009513AB"/>
    <w:rsid w:val="009514F8"/>
    <w:rsid w:val="0097538C"/>
    <w:rsid w:val="009C0823"/>
    <w:rsid w:val="009D4C82"/>
    <w:rsid w:val="00A03DF0"/>
    <w:rsid w:val="00A20EFF"/>
    <w:rsid w:val="00A42B8A"/>
    <w:rsid w:val="00A92BE0"/>
    <w:rsid w:val="00AB7926"/>
    <w:rsid w:val="00AC6433"/>
    <w:rsid w:val="00AF2255"/>
    <w:rsid w:val="00B06790"/>
    <w:rsid w:val="00B20160"/>
    <w:rsid w:val="00B324C1"/>
    <w:rsid w:val="00B45745"/>
    <w:rsid w:val="00B717F7"/>
    <w:rsid w:val="00B823E4"/>
    <w:rsid w:val="00B87174"/>
    <w:rsid w:val="00BA27BE"/>
    <w:rsid w:val="00BC3658"/>
    <w:rsid w:val="00BE5319"/>
    <w:rsid w:val="00BF2E31"/>
    <w:rsid w:val="00C148F8"/>
    <w:rsid w:val="00C27380"/>
    <w:rsid w:val="00C70DCF"/>
    <w:rsid w:val="00C94EF9"/>
    <w:rsid w:val="00D005B6"/>
    <w:rsid w:val="00D1350B"/>
    <w:rsid w:val="00D233CD"/>
    <w:rsid w:val="00D44FB0"/>
    <w:rsid w:val="00D93FC9"/>
    <w:rsid w:val="00DD7407"/>
    <w:rsid w:val="00DE4693"/>
    <w:rsid w:val="00DE6257"/>
    <w:rsid w:val="00E12637"/>
    <w:rsid w:val="00E1738A"/>
    <w:rsid w:val="00E40868"/>
    <w:rsid w:val="00E759E7"/>
    <w:rsid w:val="00E85DC7"/>
    <w:rsid w:val="00EA2599"/>
    <w:rsid w:val="00EA4F85"/>
    <w:rsid w:val="00EB2C01"/>
    <w:rsid w:val="00EE03B9"/>
    <w:rsid w:val="00EF6D8F"/>
    <w:rsid w:val="00F01E73"/>
    <w:rsid w:val="00F07C64"/>
    <w:rsid w:val="00F101A5"/>
    <w:rsid w:val="00F30E61"/>
    <w:rsid w:val="00F3737C"/>
    <w:rsid w:val="00F373BB"/>
    <w:rsid w:val="00F449CF"/>
    <w:rsid w:val="00F50183"/>
    <w:rsid w:val="00F65EA9"/>
    <w:rsid w:val="00F92AC5"/>
    <w:rsid w:val="00FB7591"/>
    <w:rsid w:val="00FD4171"/>
    <w:rsid w:val="00FE1123"/>
    <w:rsid w:val="00FE5F14"/>
    <w:rsid w:val="09E07ED3"/>
    <w:rsid w:val="130477B3"/>
    <w:rsid w:val="1B180493"/>
    <w:rsid w:val="2A7331ED"/>
    <w:rsid w:val="306269C5"/>
    <w:rsid w:val="3C554D24"/>
    <w:rsid w:val="4ADA1E9B"/>
    <w:rsid w:val="4DF41C79"/>
    <w:rsid w:val="7E3850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semiHidden/>
    <w:unhideWhenUsed/>
    <w:qFormat/>
    <w:uiPriority w:val="99"/>
    <w:rPr>
      <w:sz w:val="18"/>
      <w:szCs w:val="18"/>
    </w:rPr>
  </w:style>
  <w:style w:type="paragraph" w:styleId="3">
    <w:name w:val="footer"/>
    <w:basedOn w:val="1"/>
    <w:link w:val="10"/>
    <w:autoRedefine/>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autoRedefine/>
    <w:qFormat/>
    <w:uiPriority w:val="34"/>
    <w:pPr>
      <w:ind w:firstLine="420" w:firstLineChars="200"/>
    </w:pPr>
  </w:style>
  <w:style w:type="character" w:customStyle="1" w:styleId="9">
    <w:name w:val="页眉 Char"/>
    <w:basedOn w:val="7"/>
    <w:link w:val="4"/>
    <w:autoRedefine/>
    <w:qFormat/>
    <w:uiPriority w:val="99"/>
    <w:rPr>
      <w:sz w:val="18"/>
      <w:szCs w:val="18"/>
    </w:rPr>
  </w:style>
  <w:style w:type="character" w:customStyle="1" w:styleId="10">
    <w:name w:val="页脚 Char"/>
    <w:basedOn w:val="7"/>
    <w:link w:val="3"/>
    <w:autoRedefine/>
    <w:qFormat/>
    <w:uiPriority w:val="99"/>
    <w:rPr>
      <w:sz w:val="18"/>
      <w:szCs w:val="18"/>
    </w:rPr>
  </w:style>
  <w:style w:type="character" w:customStyle="1" w:styleId="11">
    <w:name w:val="批注框文本 Char"/>
    <w:basedOn w:val="7"/>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wxd</Company>
  <Pages>5</Pages>
  <Words>194</Words>
  <Characters>1110</Characters>
  <Lines>9</Lines>
  <Paragraphs>2</Paragraphs>
  <TotalTime>3</TotalTime>
  <ScaleCrop>false</ScaleCrop>
  <LinksUpToDate>false</LinksUpToDate>
  <CharactersWithSpaces>1302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2024-03-12T01:12:00Z</dcterms:created>
  <dc:creator>XJS</dc:creator>
  <cp:lastModifiedBy>无心</cp:lastModifiedBy>
  <dcterms:modified xsi:type="dcterms:W3CDTF">2024-05-08T02:46:16Z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0C00E048917241FDB2AFD5628D24286B_13</vt:lpwstr>
  </property>
</Properties>
</file>