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09FEEE7">
      <w:pPr>
        <w:pStyle w:val="2"/>
        <w:widowControl/>
        <w:spacing w:beforeAutospacing="0" w:afterAutospacing="0" w:line="440" w:lineRule="exact"/>
        <w:ind w:firstLine="482"/>
        <w:rPr>
          <w:rFonts w:ascii="宋体" w:hAnsi="宋体" w:eastAsia="宋体" w:cs="宋体"/>
        </w:rPr>
      </w:pPr>
      <w:bookmarkStart w:id="0" w:name="_GoBack"/>
      <w:r>
        <w:rPr>
          <w:rStyle w:val="5"/>
          <w:rFonts w:hint="eastAsia" w:ascii="宋体" w:hAnsi="宋体" w:eastAsia="宋体" w:cs="宋体"/>
          <w:shd w:val="clear" w:color="auto" w:fill="FFFFFF"/>
        </w:rPr>
        <w:t>附件1：关于串标情形及后果的告知函</w:t>
      </w:r>
      <w:bookmarkEnd w:id="0"/>
    </w:p>
    <w:tbl>
      <w:tblPr>
        <w:tblStyle w:val="3"/>
        <w:tblW w:w="0" w:type="auto"/>
        <w:tblInd w:w="0" w:type="dxa"/>
        <w:tblLayout w:type="autofit"/>
        <w:tblCellMar>
          <w:top w:w="0" w:type="dxa"/>
          <w:left w:w="0" w:type="dxa"/>
          <w:bottom w:w="0" w:type="dxa"/>
          <w:right w:w="0" w:type="dxa"/>
        </w:tblCellMar>
      </w:tblPr>
      <w:tblGrid>
        <w:gridCol w:w="8295"/>
      </w:tblGrid>
      <w:tr w14:paraId="0B29F4ED">
        <w:tblPrEx>
          <w:tblCellMar>
            <w:top w:w="0" w:type="dxa"/>
            <w:left w:w="0" w:type="dxa"/>
            <w:bottom w:w="0" w:type="dxa"/>
            <w:right w:w="0" w:type="dxa"/>
          </w:tblCellMar>
        </w:tblPrEx>
        <w:tc>
          <w:tcPr>
            <w:tcW w:w="8295"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tcPr>
          <w:p w14:paraId="6713D1AB">
            <w:pPr>
              <w:pStyle w:val="2"/>
              <w:widowControl/>
              <w:wordWrap w:val="0"/>
              <w:spacing w:beforeAutospacing="0" w:afterAutospacing="0" w:line="440" w:lineRule="exact"/>
              <w:ind w:firstLine="480"/>
              <w:jc w:val="center"/>
              <w:rPr>
                <w:rFonts w:ascii="宋体" w:hAnsi="宋体" w:eastAsia="宋体" w:cs="宋体"/>
              </w:rPr>
            </w:pPr>
            <w:r>
              <w:rPr>
                <w:rStyle w:val="5"/>
                <w:rFonts w:hint="eastAsia" w:ascii="宋体" w:hAnsi="宋体" w:eastAsia="宋体" w:cs="宋体"/>
              </w:rPr>
              <w:t>关于串标情形及后果的告知函</w:t>
            </w:r>
          </w:p>
          <w:p w14:paraId="02415E1F">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致各投标人：</w:t>
            </w:r>
          </w:p>
          <w:p w14:paraId="221D6492">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   根据《厦门市财政局关于加强涉嫌串通投标情形处理的通知》要求，现将有关恶意串通、视为串通情形及供应商需承担的后果列明如下，请各供应商仔细阅读，如在参与本项目采购活动中存在串通投标情形，将依法承担相应责任：</w:t>
            </w:r>
          </w:p>
          <w:p w14:paraId="69D717ED">
            <w:pPr>
              <w:pStyle w:val="2"/>
              <w:widowControl/>
              <w:wordWrap w:val="0"/>
              <w:spacing w:beforeAutospacing="0" w:afterAutospacing="0" w:line="440" w:lineRule="exact"/>
              <w:ind w:firstLine="480"/>
              <w:rPr>
                <w:rFonts w:ascii="宋体" w:hAnsi="宋体" w:eastAsia="宋体" w:cs="宋体"/>
              </w:rPr>
            </w:pPr>
            <w:r>
              <w:rPr>
                <w:rStyle w:val="5"/>
                <w:rFonts w:hint="eastAsia" w:ascii="宋体" w:hAnsi="宋体" w:eastAsia="宋体" w:cs="宋体"/>
              </w:rPr>
              <w:t>一、恶意串通情形</w:t>
            </w:r>
          </w:p>
          <w:p w14:paraId="259EB843">
            <w:pPr>
              <w:pStyle w:val="2"/>
              <w:widowControl/>
              <w:wordWrap w:val="0"/>
              <w:spacing w:beforeAutospacing="0" w:afterAutospacing="0" w:line="440" w:lineRule="exact"/>
              <w:ind w:firstLine="315"/>
              <w:rPr>
                <w:rFonts w:ascii="宋体" w:hAnsi="宋体" w:eastAsia="宋体" w:cs="宋体"/>
              </w:rPr>
            </w:pPr>
            <w:r>
              <w:rPr>
                <w:rStyle w:val="5"/>
                <w:rFonts w:hint="eastAsia" w:ascii="宋体" w:hAnsi="宋体" w:eastAsia="宋体" w:cs="宋体"/>
              </w:rPr>
              <w:t>《政府采购法实施条例》第七十四条：有下列情形之一的，属于恶意串通：</w:t>
            </w:r>
          </w:p>
          <w:p w14:paraId="45922408">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（一）供应商直接或者间接从采购人或者采购代 理机构处获得其他供应商的相关情况并修改其投标文件或者响应文件；</w:t>
            </w:r>
          </w:p>
          <w:p w14:paraId="69AEE9C8">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（二）供应商按照采购人或者采购代 理机构的授意撤换、修改投标文件或者响应文件；</w:t>
            </w:r>
          </w:p>
          <w:p w14:paraId="6F89E818">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（三）供应商之间协商报价、技术方案等投标文件或者响应文件的实质性内容；</w:t>
            </w:r>
          </w:p>
          <w:p w14:paraId="2D26ACCE">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（四）属于同一集团、协会、商会等组织成员的供应商按照该组织要求协同参加政府采购活动；</w:t>
            </w:r>
          </w:p>
          <w:p w14:paraId="76E48E0C">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（五）供应商之间事先约定由某一特定供应商中标、成交；</w:t>
            </w:r>
          </w:p>
          <w:p w14:paraId="6AD7A957">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（六）供应商之间商定部分供应商放弃参加政府采购活动或者放弃中标、成交；</w:t>
            </w:r>
          </w:p>
          <w:p w14:paraId="596831EB">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（七）供应商与采购人或者采购代 理机构之间、供应商相互之间，为谋求特定供应商中标、成交或者排斥其他供应商的其他串通行为。</w:t>
            </w:r>
          </w:p>
          <w:p w14:paraId="085B7314">
            <w:pPr>
              <w:pStyle w:val="2"/>
              <w:widowControl/>
              <w:wordWrap w:val="0"/>
              <w:spacing w:beforeAutospacing="0" w:afterAutospacing="0" w:line="440" w:lineRule="exact"/>
              <w:ind w:firstLine="480"/>
              <w:rPr>
                <w:rFonts w:ascii="宋体" w:hAnsi="宋体" w:eastAsia="宋体" w:cs="宋体"/>
              </w:rPr>
            </w:pPr>
            <w:r>
              <w:rPr>
                <w:rStyle w:val="5"/>
                <w:rFonts w:hint="eastAsia" w:ascii="宋体" w:hAnsi="宋体" w:eastAsia="宋体" w:cs="宋体"/>
              </w:rPr>
              <w:t>二、视为串通情形</w:t>
            </w:r>
          </w:p>
          <w:p w14:paraId="084FEEB9">
            <w:pPr>
              <w:pStyle w:val="2"/>
              <w:widowControl/>
              <w:wordWrap w:val="0"/>
              <w:spacing w:beforeAutospacing="0" w:afterAutospacing="0" w:line="440" w:lineRule="exact"/>
              <w:ind w:firstLine="315"/>
              <w:rPr>
                <w:rFonts w:ascii="宋体" w:hAnsi="宋体" w:eastAsia="宋体" w:cs="宋体"/>
              </w:rPr>
            </w:pPr>
            <w:r>
              <w:rPr>
                <w:rStyle w:val="5"/>
                <w:rFonts w:hint="eastAsia" w:ascii="宋体" w:hAnsi="宋体" w:eastAsia="宋体" w:cs="宋体"/>
              </w:rPr>
              <w:t>《政府采购货物和服务招标投标管理办法》（财政部令第87号）第三十七条：有下列情形之一的，视为投标人串通投标，其投标无效：</w:t>
            </w:r>
          </w:p>
          <w:p w14:paraId="021D6D54">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（一）不同投标人的投标文件由同一单位或者个人编制；</w:t>
            </w:r>
          </w:p>
          <w:p w14:paraId="13DD395D">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（二）不同投标人委托同一单位或者个人办理投标事宜；</w:t>
            </w:r>
          </w:p>
          <w:p w14:paraId="705F00E4">
            <w:pPr>
              <w:pStyle w:val="2"/>
              <w:widowControl/>
              <w:wordWrap w:val="0"/>
              <w:spacing w:beforeAutospacing="0" w:afterAutospacing="0" w:line="440" w:lineRule="exact"/>
              <w:ind w:firstLine="360"/>
              <w:rPr>
                <w:rFonts w:ascii="宋体" w:hAnsi="宋体" w:eastAsia="宋体" w:cs="宋体"/>
              </w:rPr>
            </w:pPr>
            <w:r>
              <w:rPr>
                <w:rFonts w:hint="eastAsia" w:ascii="宋体" w:hAnsi="宋体" w:eastAsia="宋体" w:cs="宋体"/>
              </w:rPr>
              <w:t>（三）不同投标人的投标文件载明的项目管理成员或者联系人员为同一人； （四）不同投标人的投标文件异常一致或者投标报价呈规律性差异；</w:t>
            </w:r>
          </w:p>
          <w:p w14:paraId="1D2CF098">
            <w:pPr>
              <w:pStyle w:val="2"/>
              <w:widowControl/>
              <w:wordWrap w:val="0"/>
              <w:spacing w:beforeAutospacing="0" w:afterAutospacing="0" w:line="440" w:lineRule="exact"/>
              <w:ind w:firstLine="360"/>
              <w:rPr>
                <w:rFonts w:ascii="宋体" w:hAnsi="宋体" w:eastAsia="宋体" w:cs="宋体"/>
              </w:rPr>
            </w:pPr>
            <w:r>
              <w:rPr>
                <w:rFonts w:hint="eastAsia" w:ascii="宋体" w:hAnsi="宋体" w:eastAsia="宋体" w:cs="宋体"/>
              </w:rPr>
              <w:t>（五）不同投标人的投标文件相互混装；</w:t>
            </w:r>
          </w:p>
          <w:p w14:paraId="1F17DEAE">
            <w:pPr>
              <w:pStyle w:val="2"/>
              <w:widowControl/>
              <w:wordWrap w:val="0"/>
              <w:spacing w:beforeAutospacing="0" w:afterAutospacing="0" w:line="440" w:lineRule="exact"/>
              <w:ind w:firstLine="360"/>
              <w:rPr>
                <w:rFonts w:ascii="宋体" w:hAnsi="宋体" w:eastAsia="宋体" w:cs="宋体"/>
              </w:rPr>
            </w:pPr>
            <w:r>
              <w:rPr>
                <w:rFonts w:hint="eastAsia" w:ascii="宋体" w:hAnsi="宋体" w:eastAsia="宋体" w:cs="宋体"/>
              </w:rPr>
              <w:t>（六）不同投标人的投标保证金从同一单位或者个人的账户转出。</w:t>
            </w:r>
          </w:p>
          <w:p w14:paraId="4F3A91AB">
            <w:pPr>
              <w:pStyle w:val="2"/>
              <w:widowControl/>
              <w:wordWrap w:val="0"/>
              <w:spacing w:beforeAutospacing="0" w:afterAutospacing="0" w:line="440" w:lineRule="exact"/>
              <w:ind w:firstLine="315"/>
              <w:rPr>
                <w:rFonts w:ascii="宋体" w:hAnsi="宋体" w:eastAsia="宋体" w:cs="宋体"/>
              </w:rPr>
            </w:pPr>
            <w:r>
              <w:rPr>
                <w:rStyle w:val="5"/>
                <w:rFonts w:hint="eastAsia" w:ascii="宋体" w:hAnsi="宋体" w:eastAsia="宋体" w:cs="宋体"/>
              </w:rPr>
              <w:t>《福建省财政厅关于电子化政府采购项目中视为串标情形认定与处理的指导意见》（闽财购〔2018〕30号）</w:t>
            </w:r>
          </w:p>
          <w:p w14:paraId="18F56E5D">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（一）电子化招标项目视为串通情形的认定</w:t>
            </w:r>
          </w:p>
          <w:p w14:paraId="00C92A29">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1、保证金验核阶段 不同投标人的投标保证金转出账户的银行账户名 称相同的，属于《政府采购货物和服务招标投标管理办法》（财政部令第87号）第三十七条第（六）项“不同投标人的投标保证金从同一单位或者个人的账户转出”的情形。</w:t>
            </w:r>
          </w:p>
          <w:p w14:paraId="105F28F4">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2、电子响应文件解密阶段 电子响应文件的个性特征与本采购项目的其他响应人存在雷同的，按照以下方式进行认定：</w:t>
            </w:r>
          </w:p>
          <w:p w14:paraId="7D5395CB">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1）投标人上传电子投标文件被福建省政府采购网上公开信息系统投标客户端所赋予的项目内部识别码与本招标项目的其他投标人相同的，属于《政府采购货物和服务招标投标管理办法》（财政部令第87号）第三十七条第（一）项“不同投标人的投标文件由同一单位或者个人编制”的情形。</w:t>
            </w:r>
          </w:p>
          <w:p w14:paraId="454A92BE">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2）系统记录的编制电子投标文件使用的计算机或上传电子投标文件使用的计算机网卡MAC地址与本招标项目的其他投标人一致的，属于《政府采购货物和服务招标投标管理办法》（财政部令第87号）第三十七条第（二）项“不同投标人委托同一单位或者个人办理投标事宜”的情形。</w:t>
            </w:r>
          </w:p>
          <w:p w14:paraId="222665C7">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3）投标人上传的电子投标文件若出现使用本项目其他投标人的数字证书加密的或加盖本项目的其他投标人的电子印章的，属于《政府采购货物和服务招标投标管理办法》（财政部令第87号）第三十七条第（五）项“不同投标人的投标文件相互混装”的情形。</w:t>
            </w:r>
          </w:p>
          <w:p w14:paraId="5AB27E5C">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（二）电子化非招标项目视为串通情形的认定</w:t>
            </w:r>
          </w:p>
          <w:p w14:paraId="182C4F9A">
            <w:pPr>
              <w:pStyle w:val="2"/>
              <w:widowControl/>
              <w:wordWrap w:val="0"/>
              <w:spacing w:beforeAutospacing="0" w:afterAutospacing="0" w:line="440" w:lineRule="exact"/>
              <w:ind w:firstLine="315"/>
              <w:rPr>
                <w:rFonts w:ascii="宋体" w:hAnsi="宋体" w:eastAsia="宋体" w:cs="宋体"/>
              </w:rPr>
            </w:pPr>
            <w:r>
              <w:rPr>
                <w:rFonts w:hint="eastAsia" w:ascii="宋体" w:hAnsi="宋体" w:eastAsia="宋体" w:cs="宋体"/>
              </w:rPr>
              <w:t>电子化非招标项目（包括竞争性谈判、竞争性磋商、询价）中出现本意见第一点所列情形的，属于《中华人民共和国政府采购法实施条例》第七十四条第（七）项“供应商与采购人或者采购代 理机构之间、供应商相互之间，为谋求特定供应商中标、成交或者排斥其他供应商的其他串通行为”。</w:t>
            </w:r>
          </w:p>
          <w:p w14:paraId="0E9CECFA">
            <w:pPr>
              <w:pStyle w:val="2"/>
              <w:widowControl/>
              <w:wordWrap w:val="0"/>
              <w:spacing w:beforeAutospacing="0" w:afterAutospacing="0" w:line="440" w:lineRule="exact"/>
              <w:ind w:firstLine="240"/>
              <w:rPr>
                <w:rFonts w:ascii="宋体" w:hAnsi="宋体" w:eastAsia="宋体" w:cs="宋体"/>
              </w:rPr>
            </w:pPr>
            <w:r>
              <w:rPr>
                <w:rStyle w:val="5"/>
                <w:rFonts w:hint="eastAsia" w:ascii="宋体" w:hAnsi="宋体" w:eastAsia="宋体" w:cs="宋体"/>
              </w:rPr>
              <w:t>《福建省财政厅关于福建省省 级政府采购货物和服务项目招标文件编制指引和实施指引的补充通知（三）》（闽财购〔2010〕28号）</w:t>
            </w:r>
          </w:p>
          <w:p w14:paraId="6D469604">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评标委员会在评标过程中发现投标人存在下列情形之一的，可认定其有串通投标行为，并做出其投标无效的决定：</w:t>
            </w:r>
          </w:p>
          <w:p w14:paraId="61CCD008">
            <w:pPr>
              <w:pStyle w:val="2"/>
              <w:widowControl/>
              <w:wordWrap w:val="0"/>
              <w:spacing w:beforeAutospacing="0" w:afterAutospacing="0" w:line="440" w:lineRule="exact"/>
              <w:ind w:firstLine="240"/>
              <w:rPr>
                <w:rFonts w:ascii="宋体" w:hAnsi="宋体" w:eastAsia="宋体" w:cs="宋体"/>
              </w:rPr>
            </w:pPr>
            <w:r>
              <w:rPr>
                <w:rFonts w:hint="eastAsia" w:ascii="宋体" w:hAnsi="宋体" w:eastAsia="宋体" w:cs="宋体"/>
              </w:rPr>
              <w:t>（一）不同投标人的投标文件错、漏之处一致或雷同，且不能合理解释的；</w:t>
            </w:r>
          </w:p>
          <w:p w14:paraId="35C6A1B8">
            <w:pPr>
              <w:pStyle w:val="2"/>
              <w:widowControl/>
              <w:wordWrap w:val="0"/>
              <w:spacing w:beforeAutospacing="0" w:afterAutospacing="0" w:line="440" w:lineRule="exact"/>
              <w:ind w:firstLine="240"/>
              <w:rPr>
                <w:rFonts w:ascii="宋体" w:hAnsi="宋体" w:eastAsia="宋体" w:cs="宋体"/>
              </w:rPr>
            </w:pPr>
            <w:r>
              <w:rPr>
                <w:rFonts w:hint="eastAsia" w:ascii="宋体" w:hAnsi="宋体" w:eastAsia="宋体" w:cs="宋体"/>
              </w:rPr>
              <w:t>（二）不同的投标人的法定代表人、委托代 理人等由同一个单位缴纳社会保险的；</w:t>
            </w:r>
          </w:p>
          <w:p w14:paraId="6738A948">
            <w:pPr>
              <w:pStyle w:val="2"/>
              <w:widowControl/>
              <w:wordWrap w:val="0"/>
              <w:spacing w:beforeAutospacing="0" w:afterAutospacing="0" w:line="440" w:lineRule="exact"/>
              <w:ind w:firstLine="240"/>
              <w:rPr>
                <w:rFonts w:ascii="宋体" w:hAnsi="宋体" w:eastAsia="宋体" w:cs="宋体"/>
              </w:rPr>
            </w:pPr>
            <w:r>
              <w:rPr>
                <w:rFonts w:hint="eastAsia" w:ascii="宋体" w:hAnsi="宋体" w:eastAsia="宋体" w:cs="宋体"/>
              </w:rPr>
              <w:t>（三）由同一人或分别由几个有利害关系人携带两个以上（含两个）投标人的企业资料参与资格审查、领取招标资料，或代表两个以上（含两个）投标人参加招标答疑会、交纳或退还投标保证金、开标的；</w:t>
            </w:r>
          </w:p>
          <w:p w14:paraId="4AD8AE23">
            <w:pPr>
              <w:pStyle w:val="2"/>
              <w:widowControl/>
              <w:wordWrap w:val="0"/>
              <w:spacing w:beforeAutospacing="0" w:afterAutospacing="0" w:line="440" w:lineRule="exact"/>
              <w:ind w:firstLine="240"/>
              <w:rPr>
                <w:rFonts w:ascii="宋体" w:hAnsi="宋体" w:eastAsia="宋体" w:cs="宋体"/>
              </w:rPr>
            </w:pPr>
            <w:r>
              <w:rPr>
                <w:rFonts w:hint="eastAsia" w:ascii="宋体" w:hAnsi="宋体" w:eastAsia="宋体" w:cs="宋体"/>
              </w:rPr>
              <w:t>（四）有关法律、法规或规章规定的其他串通投标行为。</w:t>
            </w:r>
          </w:p>
          <w:p w14:paraId="71D97E87">
            <w:pPr>
              <w:pStyle w:val="2"/>
              <w:widowControl/>
              <w:wordWrap w:val="0"/>
              <w:spacing w:beforeAutospacing="0" w:afterAutospacing="0" w:line="440" w:lineRule="exact"/>
              <w:ind w:firstLine="480"/>
              <w:rPr>
                <w:rFonts w:ascii="宋体" w:hAnsi="宋体" w:eastAsia="宋体" w:cs="宋体"/>
              </w:rPr>
            </w:pPr>
            <w:r>
              <w:rPr>
                <w:rStyle w:val="5"/>
                <w:rFonts w:hint="eastAsia" w:ascii="宋体" w:hAnsi="宋体" w:eastAsia="宋体" w:cs="宋体"/>
              </w:rPr>
              <w:t>三、供应商需承担的后果</w:t>
            </w:r>
          </w:p>
          <w:p w14:paraId="1EB4A274">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1、《政府采购法》第七十七条：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（三）与采购人、其他供应商或者采购代 理机构恶意串通的； 供应商有前款第（一）至（五）项情形之一的，中标、成交无效。</w:t>
            </w:r>
          </w:p>
          <w:p w14:paraId="1CC8B189">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2、《政府采购非招标采购方式管理办法》（财政部令第74号）第二十条：有下列情形之一的，保证金不予退还： （四）供应商与采购人、其他供应商或者采购代 理机构恶意串通的；</w:t>
            </w:r>
          </w:p>
          <w:p w14:paraId="663B644A">
            <w:pPr>
              <w:pStyle w:val="2"/>
              <w:widowControl/>
              <w:wordWrap w:val="0"/>
              <w:spacing w:beforeAutospacing="0" w:afterAutospacing="0" w:line="440" w:lineRule="exact"/>
              <w:ind w:firstLine="552"/>
              <w:rPr>
                <w:rFonts w:ascii="宋体" w:hAnsi="宋体" w:eastAsia="宋体" w:cs="宋体"/>
              </w:rPr>
            </w:pPr>
            <w:r>
              <w:rPr>
                <w:rFonts w:hint="eastAsia" w:ascii="宋体" w:hAnsi="宋体" w:eastAsia="宋体" w:cs="宋体"/>
              </w:rPr>
              <w:t>3、《政府采购竞争性磋商采购方式管理暂行办法》（财库〔2014〕214号）第三十一条：有下列情形之一的，磋商保证金不予退还： （四）供应商与采购人、其他供应商或者采购代 理机构恶意串通的；</w:t>
            </w:r>
          </w:p>
          <w:p w14:paraId="34CF8005">
            <w:pPr>
              <w:pStyle w:val="2"/>
              <w:widowControl/>
              <w:wordWrap w:val="0"/>
              <w:spacing w:beforeAutospacing="0" w:afterAutospacing="0" w:line="440" w:lineRule="exact"/>
              <w:rPr>
                <w:rFonts w:ascii="宋体" w:hAnsi="宋体" w:eastAsia="宋体" w:cs="宋体"/>
              </w:rPr>
            </w:pPr>
            <w:r>
              <w:rPr>
                <w:rFonts w:hint="eastAsia" w:ascii="宋体" w:hAnsi="宋体" w:eastAsia="宋体" w:cs="宋体"/>
              </w:rPr>
              <w:t>4、《福建省财政厅关于电子化政府采购项目中视为串标情形认定与处理的指导意见》（闽财购〔2018〕30号） 在开标过程中，发现投标（响应）人有上述情形的，采购人、采购代 理机构应当根据采购文件认定串通行为，认定其投标（响应）无效，没收其保证金，并书面报告本级财政部门；在评审过程中发现投标（响应）人有上述情形的，资格审查小组或评标委员会（谈判小组、磋商小组、询价小组）应当根据采购文件认定串通行为，认定其投标（响应）无效，没收其保证金，并书面报告本级财政部门。</w:t>
            </w:r>
          </w:p>
        </w:tc>
      </w:tr>
    </w:tbl>
    <w:p w14:paraId="789A1192"/>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C880269"/>
    <w:rsid w:val="460C6D7B"/>
    <w:rsid w:val="5C880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Emphasis"/>
    <w:basedOn w:val="4"/>
    <w:qFormat/>
    <w:uiPriority w:val="0"/>
    <w:rPr>
      <w:i/>
    </w:rPr>
  </w:style>
  <w:style w:type="paragraph" w:customStyle="1" w:styleId="7">
    <w:name w:val="null3"/>
    <w:hidden/>
    <w:qFormat/>
    <w:uiPriority w:val="0"/>
    <w:rPr>
      <w:rFonts w:hint="eastAsia" w:asciiTheme="minorHAnsi" w:hAnsiTheme="minorHAnsi" w:eastAsiaTheme="minorEastAsia" w:cstheme="minorBidi"/>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2</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2025-06-19T07:36:00Z</dcterms:created>
  <dc:creator>笔墨江湖1413351998</dc:creator>
  <cp:lastModifiedBy>笔墨江湖1413351998</cp:lastModifiedBy>
  <dcterms:modified xsi:type="dcterms:W3CDTF">2025-06-19T07:47:22Z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943C1A0F4333428F9B8A9CC65A2BF988_11</vt:lpwstr>
  </property>
  <property fmtid="{D5CDD505-2E9C-101B-9397-08002B2CF9AE}" pid="4" name="KSOTemplateDocerSaveRecord">
    <vt:lpwstr>eyJoZGlkIjoiYjc2YjM0NmEzZmQxZTExODQ0M2FmNGJiYjBkMzc1MTciLCJ1c2VySWQiOiIyMzEwNDg5NyJ9</vt:lpwstr>
  </property>
</Properties>
</file>