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533948">
      <w:pPr>
        <w:pStyle w:val="16"/>
        <w:jc w:val="both"/>
        <w:rPr>
          <w:rFonts w:hint="eastAsia"/>
          <w:lang w:val="en-US" w:eastAsia="zh-CN"/>
        </w:rPr>
      </w:pPr>
      <w:r>
        <w:rPr>
          <w:rFonts w:hint="eastAsia" w:ascii="国标黑体" w:hAnsi="国标黑体" w:eastAsia="国标黑体" w:cs="国标黑体"/>
          <w:sz w:val="32"/>
          <w:szCs w:val="32"/>
          <w:lang w:eastAsia="zh-CN"/>
        </w:rPr>
        <w:t>附件</w:t>
      </w:r>
      <w:r>
        <w:rPr>
          <w:rFonts w:hint="eastAsia" w:ascii="国标黑体" w:hAnsi="国标黑体" w:eastAsia="国标黑体" w:cs="国标黑体"/>
          <w:sz w:val="32"/>
          <w:szCs w:val="32"/>
          <w:lang w:val="en-US" w:eastAsia="zh-CN"/>
        </w:rPr>
        <w:t>2</w:t>
      </w:r>
    </w:p>
    <w:p w14:paraId="5E00475E">
      <w:pPr>
        <w:pStyle w:val="16"/>
        <w:rPr>
          <w:rFonts w:hint="eastAsia"/>
        </w:rPr>
      </w:pPr>
      <w:r>
        <w:rPr>
          <w:rFonts w:hint="eastAsia"/>
        </w:rPr>
        <w:t>福建省无线电监测站2026年检测设施运行维护服务项目采购内容及需求</w:t>
      </w:r>
    </w:p>
    <w:p w14:paraId="5FC7A3ED">
      <w:pPr>
        <w:rPr>
          <w:rFonts w:hint="eastAsia"/>
        </w:rPr>
      </w:pPr>
    </w:p>
    <w:p w14:paraId="681FAB76">
      <w:pPr>
        <w:pStyle w:val="2"/>
        <w:spacing w:before="156"/>
        <w:ind w:firstLine="643"/>
      </w:pPr>
      <w:r>
        <w:t>一、项目</w:t>
      </w:r>
      <w:r>
        <w:rPr>
          <w:rFonts w:hint="eastAsia"/>
        </w:rPr>
        <w:t>内容</w:t>
      </w:r>
    </w:p>
    <w:p w14:paraId="7BBD883D">
      <w:pPr>
        <w:pStyle w:val="3"/>
        <w:spacing w:before="156"/>
        <w:ind w:firstLine="643"/>
      </w:pPr>
      <w:r>
        <w:t>1.1 项目目标</w:t>
      </w:r>
      <w:bookmarkStart w:id="0" w:name="_GoBack"/>
      <w:bookmarkEnd w:id="0"/>
    </w:p>
    <w:p w14:paraId="3120835F">
      <w:r>
        <w:t>围绕本项目需求，确立以下核心目标，确保服务质量达到要求：</w:t>
      </w:r>
    </w:p>
    <w:p w14:paraId="475CAD0D">
      <w:r>
        <w:t>保障</w:t>
      </w:r>
      <w:r>
        <w:rPr>
          <w:rFonts w:hint="eastAsia"/>
        </w:rPr>
        <w:t>实验室</w:t>
      </w:r>
      <w:r>
        <w:t>在用无线电检测系统、设备及附件正常运行，</w:t>
      </w:r>
      <w:r>
        <w:rPr>
          <w:rFonts w:hint="eastAsia"/>
        </w:rPr>
        <w:t>保障</w:t>
      </w:r>
      <w:r>
        <w:t>设备</w:t>
      </w:r>
      <w:r>
        <w:rPr>
          <w:rFonts w:hint="eastAsia"/>
        </w:rPr>
        <w:t>的</w:t>
      </w:r>
      <w:r>
        <w:t>完好率</w:t>
      </w:r>
      <w:r>
        <w:rPr>
          <w:rFonts w:hint="eastAsia"/>
        </w:rPr>
        <w:t>和</w:t>
      </w:r>
      <w:r>
        <w:t>使用率</w:t>
      </w:r>
      <w:r>
        <w:rPr>
          <w:rFonts w:hint="eastAsia"/>
        </w:rPr>
        <w:t>，发挥系统和设备的最大效能</w:t>
      </w:r>
      <w:r>
        <w:t>；</w:t>
      </w:r>
    </w:p>
    <w:p w14:paraId="4967A7E2">
      <w:r>
        <w:t>提供专业的公共检测服务平台运营支撑，完善工作环境，提升平台服务效能，满足行业企业及相关单位的检测服务需求；</w:t>
      </w:r>
    </w:p>
    <w:p w14:paraId="28A072FA">
      <w:r>
        <w:rPr>
          <w:rFonts w:hint="eastAsia"/>
        </w:rPr>
        <w:t>按照</w:t>
      </w:r>
      <w:r>
        <w:t>CNAS、CMA质量体系资质要求，维护实验室质量管理体系正常运行，确保检测工作合规、准确；</w:t>
      </w:r>
    </w:p>
    <w:p w14:paraId="2E67AD8C">
      <w:r>
        <w:t>快速响应故障需求，严格把控故障处理时限，最大限度减少检测业务中断影响；</w:t>
      </w:r>
    </w:p>
    <w:p w14:paraId="713CBE88">
      <w:r>
        <w:t>协助开展技术培训、政策宣讲、专项检测等工作，助力无线电管理工作提质增效</w:t>
      </w:r>
      <w:r>
        <w:rPr>
          <w:rFonts w:hint="eastAsia"/>
        </w:rPr>
        <w:t>;</w:t>
      </w:r>
    </w:p>
    <w:p w14:paraId="5A79ADB2">
      <w:r>
        <w:rPr>
          <w:rFonts w:hint="eastAsia"/>
        </w:rPr>
        <w:t>提供无线电发射设备网络巡检服务</w:t>
      </w:r>
      <w:r>
        <w:t>。</w:t>
      </w:r>
    </w:p>
    <w:p w14:paraId="09097DB4">
      <w:pPr>
        <w:pStyle w:val="3"/>
        <w:spacing w:before="156"/>
        <w:ind w:firstLine="643"/>
      </w:pPr>
      <w:r>
        <w:t>1.</w:t>
      </w:r>
      <w:r>
        <w:rPr>
          <w:rFonts w:hint="eastAsia"/>
        </w:rPr>
        <w:t>2</w:t>
      </w:r>
      <w:r>
        <w:t xml:space="preserve"> 服务范围及期限</w:t>
      </w:r>
    </w:p>
    <w:p w14:paraId="5B0BF4A3">
      <w:pPr>
        <w:pStyle w:val="4"/>
        <w:spacing w:before="156"/>
        <w:ind w:firstLine="643"/>
      </w:pPr>
      <w:r>
        <w:t>1.</w:t>
      </w:r>
      <w:r>
        <w:rPr>
          <w:rFonts w:hint="eastAsia"/>
        </w:rPr>
        <w:t>2</w:t>
      </w:r>
      <w:r>
        <w:t>.1 服务范围</w:t>
      </w:r>
    </w:p>
    <w:p w14:paraId="3F445913">
      <w:r>
        <w:rPr>
          <w:rFonts w:hint="eastAsia"/>
        </w:rPr>
        <w:t>为实验室现有</w:t>
      </w:r>
      <w:r>
        <w:t>检测系统（含2G/3G/4G公众通信移动台自动检测系统等</w:t>
      </w:r>
      <w:r>
        <w:rPr>
          <w:rFonts w:hint="eastAsia"/>
        </w:rPr>
        <w:t>8</w:t>
      </w:r>
      <w:r>
        <w:t>类系统）、检测设备及附件（详见采购需求附件1运维清单）、检测实验室（含屏蔽房、电波暗室等）</w:t>
      </w:r>
      <w:r>
        <w:rPr>
          <w:rFonts w:hint="eastAsia"/>
        </w:rPr>
        <w:t>提供</w:t>
      </w:r>
      <w:r>
        <w:t>日常运维、定期巡检、故障处理、第三方校准</w:t>
      </w:r>
      <w:r>
        <w:rPr>
          <w:rFonts w:hint="eastAsia"/>
        </w:rPr>
        <w:t>、</w:t>
      </w:r>
      <w:r>
        <w:t>实验室质量管理体系维护等服务；</w:t>
      </w:r>
    </w:p>
    <w:p w14:paraId="14563CCF">
      <w:r>
        <w:rPr>
          <w:rFonts w:hint="eastAsia"/>
        </w:rPr>
        <w:t>为</w:t>
      </w:r>
      <w:r>
        <w:t>公共检测服务平台</w:t>
      </w:r>
      <w:r>
        <w:rPr>
          <w:rFonts w:hint="eastAsia"/>
        </w:rPr>
        <w:t>提供服务支撑和</w:t>
      </w:r>
      <w:r>
        <w:t>技术支持</w:t>
      </w:r>
      <w:r>
        <w:rPr>
          <w:rFonts w:hint="eastAsia"/>
        </w:rPr>
        <w:t>，包括</w:t>
      </w:r>
      <w:r>
        <w:t>技术培训、政策宣讲、专项检测等服务</w:t>
      </w:r>
      <w:r>
        <w:rPr>
          <w:rFonts w:hint="eastAsia"/>
        </w:rPr>
        <w:t>；</w:t>
      </w:r>
    </w:p>
    <w:p w14:paraId="4C28156B">
      <w:r>
        <w:rPr>
          <w:rFonts w:hint="eastAsia"/>
        </w:rPr>
        <w:t>提供无线电发射设备网络巡检服务，每季度巡检型号数量原则上不少于100款，编制季度总结报告、半年总结报告和年度工作总结报告。</w:t>
      </w:r>
    </w:p>
    <w:p w14:paraId="5E164CDD">
      <w:pPr>
        <w:pStyle w:val="4"/>
        <w:spacing w:before="156"/>
        <w:ind w:firstLine="643"/>
      </w:pPr>
      <w:r>
        <w:t>1.</w:t>
      </w:r>
      <w:r>
        <w:rPr>
          <w:rFonts w:hint="eastAsia"/>
        </w:rPr>
        <w:t>2</w:t>
      </w:r>
      <w:r>
        <w:t>.2 服务期限</w:t>
      </w:r>
    </w:p>
    <w:p w14:paraId="38CA7819">
      <w:r>
        <w:t>自合同签订之日起</w:t>
      </w:r>
      <w:r>
        <w:rPr>
          <w:rFonts w:hint="eastAsia"/>
        </w:rPr>
        <w:t>1年</w:t>
      </w:r>
      <w:r>
        <w:t>，全面履行本方案约定的所有服务内容。</w:t>
      </w:r>
    </w:p>
    <w:p w14:paraId="4A6E22D6">
      <w:pPr>
        <w:pStyle w:val="2"/>
        <w:spacing w:before="156"/>
        <w:ind w:firstLine="643"/>
      </w:pPr>
      <w:r>
        <w:t>二、项目实施团队配置</w:t>
      </w:r>
    </w:p>
    <w:p w14:paraId="7E3B37B7">
      <w:r>
        <w:t>严格按照采购需求要求，组建专业的运维服务项目组，确保团队人员数量、专业能力满足项目需求，全程保障项目高效推进。</w:t>
      </w:r>
    </w:p>
    <w:p w14:paraId="40D56EBA">
      <w:pPr>
        <w:pStyle w:val="3"/>
        <w:spacing w:before="156"/>
        <w:ind w:firstLine="643"/>
      </w:pPr>
      <w:r>
        <w:t>2.1 项目组组成</w:t>
      </w:r>
    </w:p>
    <w:p w14:paraId="5705AA2A">
      <w:r>
        <w:t>项目组总人数不少于3人，均为熟悉无线电检测相关业务、具备丰富</w:t>
      </w:r>
      <w:r>
        <w:rPr>
          <w:rFonts w:hint="eastAsia"/>
        </w:rPr>
        <w:t>实验室</w:t>
      </w:r>
      <w:r>
        <w:t>运维经验的专业技术人员，能够熟练操作各类检测设备及系统，具备故障排查、系统维护、质量管理等相关能力。</w:t>
      </w:r>
      <w:r>
        <w:rPr>
          <w:rFonts w:hint="eastAsia"/>
        </w:rPr>
        <w:t>其中在本地指派至少1名专职技术人员，负责公共检测服务平台的日常管理和维护工作。</w:t>
      </w:r>
    </w:p>
    <w:p w14:paraId="0F5DE9DF">
      <w:pPr>
        <w:pStyle w:val="3"/>
        <w:spacing w:before="156"/>
        <w:ind w:firstLine="643"/>
      </w:pPr>
      <w:r>
        <w:t>2.2 核心人员配置及职责</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137"/>
        <w:gridCol w:w="904"/>
        <w:gridCol w:w="2919"/>
        <w:gridCol w:w="3586"/>
      </w:tblGrid>
      <w:tr w14:paraId="6FC6E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33" w:hRule="atLeast"/>
          <w:tblHeader/>
        </w:trPr>
        <w:tc>
          <w:tcPr>
            <w:tcW w:w="665" w:type="pct"/>
            <w:tcMar>
              <w:top w:w="120" w:type="dxa"/>
              <w:left w:w="120" w:type="dxa"/>
              <w:bottom w:w="120" w:type="dxa"/>
              <w:right w:w="120" w:type="dxa"/>
            </w:tcMar>
            <w:vAlign w:val="center"/>
          </w:tcPr>
          <w:p w14:paraId="20E1D6F9">
            <w:pPr>
              <w:pStyle w:val="38"/>
              <w:snapToGrid w:val="0"/>
              <w:rPr>
                <w:b/>
                <w:bCs/>
              </w:rPr>
            </w:pPr>
            <w:r>
              <w:rPr>
                <w:b/>
                <w:bCs/>
              </w:rPr>
              <w:t>岗位</w:t>
            </w:r>
          </w:p>
        </w:tc>
        <w:tc>
          <w:tcPr>
            <w:tcW w:w="529" w:type="pct"/>
            <w:tcMar>
              <w:top w:w="120" w:type="dxa"/>
              <w:left w:w="120" w:type="dxa"/>
              <w:bottom w:w="120" w:type="dxa"/>
              <w:right w:w="120" w:type="dxa"/>
            </w:tcMar>
            <w:vAlign w:val="center"/>
          </w:tcPr>
          <w:p w14:paraId="1300C276">
            <w:pPr>
              <w:pStyle w:val="38"/>
              <w:snapToGrid w:val="0"/>
              <w:rPr>
                <w:b/>
                <w:bCs/>
              </w:rPr>
            </w:pPr>
            <w:r>
              <w:rPr>
                <w:b/>
                <w:bCs/>
              </w:rPr>
              <w:t>人数</w:t>
            </w:r>
          </w:p>
        </w:tc>
        <w:tc>
          <w:tcPr>
            <w:tcW w:w="1708" w:type="pct"/>
            <w:tcMar>
              <w:top w:w="120" w:type="dxa"/>
              <w:left w:w="120" w:type="dxa"/>
              <w:bottom w:w="120" w:type="dxa"/>
              <w:right w:w="120" w:type="dxa"/>
            </w:tcMar>
            <w:vAlign w:val="center"/>
          </w:tcPr>
          <w:p w14:paraId="1F30DE98">
            <w:pPr>
              <w:pStyle w:val="38"/>
              <w:snapToGrid w:val="0"/>
              <w:rPr>
                <w:b/>
                <w:bCs/>
              </w:rPr>
            </w:pPr>
            <w:r>
              <w:rPr>
                <w:b/>
                <w:bCs/>
              </w:rPr>
              <w:t>专业要求</w:t>
            </w:r>
          </w:p>
        </w:tc>
        <w:tc>
          <w:tcPr>
            <w:tcW w:w="2098" w:type="pct"/>
            <w:tcMar>
              <w:top w:w="120" w:type="dxa"/>
              <w:left w:w="120" w:type="dxa"/>
              <w:bottom w:w="120" w:type="dxa"/>
              <w:right w:w="120" w:type="dxa"/>
            </w:tcMar>
            <w:vAlign w:val="center"/>
          </w:tcPr>
          <w:p w14:paraId="30D829C3">
            <w:pPr>
              <w:pStyle w:val="38"/>
              <w:snapToGrid w:val="0"/>
              <w:rPr>
                <w:b/>
                <w:bCs/>
              </w:rPr>
            </w:pPr>
            <w:r>
              <w:rPr>
                <w:b/>
                <w:bCs/>
              </w:rPr>
              <w:t>主要职责</w:t>
            </w:r>
          </w:p>
        </w:tc>
      </w:tr>
      <w:tr w14:paraId="13660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5" w:hRule="atLeast"/>
        </w:trPr>
        <w:tc>
          <w:tcPr>
            <w:tcW w:w="665" w:type="pct"/>
            <w:tcMar>
              <w:top w:w="120" w:type="dxa"/>
              <w:left w:w="120" w:type="dxa"/>
              <w:bottom w:w="120" w:type="dxa"/>
              <w:right w:w="120" w:type="dxa"/>
            </w:tcMar>
            <w:vAlign w:val="center"/>
          </w:tcPr>
          <w:p w14:paraId="3DBFAF67">
            <w:pPr>
              <w:pStyle w:val="38"/>
              <w:snapToGrid w:val="0"/>
            </w:pPr>
            <w:r>
              <w:t>项目负责人</w:t>
            </w:r>
          </w:p>
        </w:tc>
        <w:tc>
          <w:tcPr>
            <w:tcW w:w="529" w:type="pct"/>
            <w:tcMar>
              <w:top w:w="120" w:type="dxa"/>
              <w:left w:w="120" w:type="dxa"/>
              <w:bottom w:w="120" w:type="dxa"/>
              <w:right w:w="120" w:type="dxa"/>
            </w:tcMar>
            <w:vAlign w:val="center"/>
          </w:tcPr>
          <w:p w14:paraId="7DB8D7C2">
            <w:pPr>
              <w:pStyle w:val="38"/>
              <w:snapToGrid w:val="0"/>
            </w:pPr>
            <w:r>
              <w:t>1人</w:t>
            </w:r>
          </w:p>
        </w:tc>
        <w:tc>
          <w:tcPr>
            <w:tcW w:w="1708" w:type="pct"/>
            <w:tcMar>
              <w:top w:w="120" w:type="dxa"/>
              <w:left w:w="120" w:type="dxa"/>
              <w:bottom w:w="120" w:type="dxa"/>
              <w:right w:w="120" w:type="dxa"/>
            </w:tcMar>
            <w:vAlign w:val="center"/>
          </w:tcPr>
          <w:p w14:paraId="373A2969">
            <w:pPr>
              <w:pStyle w:val="38"/>
              <w:snapToGrid w:val="0"/>
              <w:jc w:val="left"/>
            </w:pPr>
            <w:r>
              <w:rPr>
                <w:rFonts w:hint="eastAsia"/>
              </w:rPr>
              <w:t>3</w:t>
            </w:r>
            <w:r>
              <w:t>年以上无线电检测</w:t>
            </w:r>
            <w:r>
              <w:rPr>
                <w:rFonts w:hint="eastAsia"/>
              </w:rPr>
              <w:t>实验室</w:t>
            </w:r>
            <w:r>
              <w:t>管理经验，熟悉CNAS</w:t>
            </w:r>
            <w:r>
              <w:rPr>
                <w:rFonts w:hint="eastAsia"/>
              </w:rPr>
              <w:t>、</w:t>
            </w:r>
            <w:r>
              <w:t>CMA</w:t>
            </w:r>
            <w:r>
              <w:rPr>
                <w:rFonts w:hint="eastAsia"/>
              </w:rPr>
              <w:t>质量</w:t>
            </w:r>
            <w:r>
              <w:t>体系要求，具备较强的统筹协调能力</w:t>
            </w:r>
            <w:r>
              <w:rPr>
                <w:rFonts w:hint="eastAsia"/>
              </w:rPr>
              <w:t>。</w:t>
            </w:r>
          </w:p>
        </w:tc>
        <w:tc>
          <w:tcPr>
            <w:tcW w:w="2098" w:type="pct"/>
            <w:tcMar>
              <w:top w:w="120" w:type="dxa"/>
              <w:left w:w="120" w:type="dxa"/>
              <w:bottom w:w="120" w:type="dxa"/>
              <w:right w:w="120" w:type="dxa"/>
            </w:tcMar>
            <w:vAlign w:val="center"/>
          </w:tcPr>
          <w:p w14:paraId="4D536567">
            <w:pPr>
              <w:pStyle w:val="38"/>
              <w:snapToGrid w:val="0"/>
            </w:pPr>
            <w:r>
              <w:t>统筹项目整体实施，对接采购方，制定运维计划，监督服务质量，协调解决项目实施过程中的各类问题，确保项目按期、按质完成</w:t>
            </w:r>
            <w:r>
              <w:rPr>
                <w:rFonts w:hint="eastAsia"/>
              </w:rPr>
              <w:t>。</w:t>
            </w:r>
          </w:p>
        </w:tc>
      </w:tr>
      <w:tr w14:paraId="4A7A9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5" w:hRule="atLeast"/>
        </w:trPr>
        <w:tc>
          <w:tcPr>
            <w:tcW w:w="665" w:type="pct"/>
            <w:tcMar>
              <w:top w:w="120" w:type="dxa"/>
              <w:left w:w="120" w:type="dxa"/>
              <w:bottom w:w="120" w:type="dxa"/>
              <w:right w:w="120" w:type="dxa"/>
            </w:tcMar>
            <w:vAlign w:val="center"/>
          </w:tcPr>
          <w:p w14:paraId="4CF90839">
            <w:pPr>
              <w:pStyle w:val="38"/>
              <w:snapToGrid w:val="0"/>
            </w:pPr>
            <w:r>
              <w:t>专职技术运维人员（本地）</w:t>
            </w:r>
          </w:p>
        </w:tc>
        <w:tc>
          <w:tcPr>
            <w:tcW w:w="529" w:type="pct"/>
            <w:tcMar>
              <w:top w:w="120" w:type="dxa"/>
              <w:left w:w="120" w:type="dxa"/>
              <w:bottom w:w="120" w:type="dxa"/>
              <w:right w:w="120" w:type="dxa"/>
            </w:tcMar>
            <w:vAlign w:val="center"/>
          </w:tcPr>
          <w:p w14:paraId="08BD4821">
            <w:pPr>
              <w:pStyle w:val="38"/>
              <w:snapToGrid w:val="0"/>
            </w:pPr>
            <w:r>
              <w:t>不少于1人</w:t>
            </w:r>
          </w:p>
        </w:tc>
        <w:tc>
          <w:tcPr>
            <w:tcW w:w="1708" w:type="pct"/>
            <w:tcMar>
              <w:top w:w="120" w:type="dxa"/>
              <w:left w:w="120" w:type="dxa"/>
              <w:bottom w:w="120" w:type="dxa"/>
              <w:right w:w="120" w:type="dxa"/>
            </w:tcMar>
            <w:vAlign w:val="center"/>
          </w:tcPr>
          <w:p w14:paraId="6084D029">
            <w:pPr>
              <w:pStyle w:val="38"/>
              <w:snapToGrid w:val="0"/>
              <w:jc w:val="left"/>
            </w:pPr>
            <w:r>
              <w:rPr>
                <w:rFonts w:hint="eastAsia"/>
              </w:rPr>
              <w:t>2</w:t>
            </w:r>
            <w:r>
              <w:t>年以上相关工作经验，熟练掌握各类检测设备、系统的操作及维护技能，具备现场故障快速处理能力</w:t>
            </w:r>
            <w:r>
              <w:rPr>
                <w:rFonts w:hint="eastAsia"/>
              </w:rPr>
              <w:t>。</w:t>
            </w:r>
          </w:p>
        </w:tc>
        <w:tc>
          <w:tcPr>
            <w:tcW w:w="2098" w:type="pct"/>
            <w:tcMar>
              <w:top w:w="120" w:type="dxa"/>
              <w:left w:w="120" w:type="dxa"/>
              <w:bottom w:w="120" w:type="dxa"/>
              <w:right w:w="120" w:type="dxa"/>
            </w:tcMar>
            <w:vAlign w:val="center"/>
          </w:tcPr>
          <w:p w14:paraId="62329B3F">
            <w:pPr>
              <w:pStyle w:val="38"/>
              <w:snapToGrid w:val="0"/>
            </w:pPr>
            <w:r>
              <w:t>负责公共检测服务平台</w:t>
            </w:r>
            <w:r>
              <w:rPr>
                <w:rFonts w:hint="eastAsia"/>
              </w:rPr>
              <w:t>设备的</w:t>
            </w:r>
            <w:r>
              <w:t>日常管理和维护，现场响应设备故障，开展日常巡检、维护保养，协助实验室质量体系维护，承担平台窗口服务及宣传布置等工作</w:t>
            </w:r>
            <w:r>
              <w:rPr>
                <w:rFonts w:hint="eastAsia"/>
              </w:rPr>
              <w:t>。</w:t>
            </w:r>
          </w:p>
        </w:tc>
      </w:tr>
      <w:tr w14:paraId="18F11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5" w:hRule="atLeast"/>
        </w:trPr>
        <w:tc>
          <w:tcPr>
            <w:tcW w:w="665" w:type="pct"/>
            <w:tcMar>
              <w:top w:w="120" w:type="dxa"/>
              <w:left w:w="120" w:type="dxa"/>
              <w:bottom w:w="120" w:type="dxa"/>
              <w:right w:w="120" w:type="dxa"/>
            </w:tcMar>
            <w:vAlign w:val="center"/>
          </w:tcPr>
          <w:p w14:paraId="5D1A7E39">
            <w:pPr>
              <w:pStyle w:val="38"/>
              <w:snapToGrid w:val="0"/>
            </w:pPr>
            <w:r>
              <w:t>技术支持人员</w:t>
            </w:r>
          </w:p>
        </w:tc>
        <w:tc>
          <w:tcPr>
            <w:tcW w:w="529" w:type="pct"/>
            <w:tcMar>
              <w:top w:w="120" w:type="dxa"/>
              <w:left w:w="120" w:type="dxa"/>
              <w:bottom w:w="120" w:type="dxa"/>
              <w:right w:w="120" w:type="dxa"/>
            </w:tcMar>
            <w:vAlign w:val="center"/>
          </w:tcPr>
          <w:p w14:paraId="5C693722">
            <w:pPr>
              <w:pStyle w:val="38"/>
              <w:snapToGrid w:val="0"/>
            </w:pPr>
            <w:r>
              <w:t>不少于1人</w:t>
            </w:r>
          </w:p>
        </w:tc>
        <w:tc>
          <w:tcPr>
            <w:tcW w:w="1708" w:type="pct"/>
            <w:tcMar>
              <w:top w:w="120" w:type="dxa"/>
              <w:left w:w="120" w:type="dxa"/>
              <w:bottom w:w="120" w:type="dxa"/>
              <w:right w:w="120" w:type="dxa"/>
            </w:tcMar>
            <w:vAlign w:val="center"/>
          </w:tcPr>
          <w:p w14:paraId="4B74F8CE">
            <w:pPr>
              <w:pStyle w:val="38"/>
              <w:snapToGrid w:val="0"/>
              <w:jc w:val="left"/>
            </w:pPr>
            <w:r>
              <w:t>熟悉各类检测标准及行业规范，具备</w:t>
            </w:r>
            <w:r>
              <w:rPr>
                <w:rFonts w:hint="eastAsia"/>
              </w:rPr>
              <w:t>无线电发射设备网络巡检、</w:t>
            </w:r>
            <w:r>
              <w:t>第三方校准协调、标准查新、技术培训组织等</w:t>
            </w:r>
            <w:r>
              <w:rPr>
                <w:rFonts w:hint="eastAsia"/>
              </w:rPr>
              <w:t>工作经验。</w:t>
            </w:r>
          </w:p>
        </w:tc>
        <w:tc>
          <w:tcPr>
            <w:tcW w:w="2098" w:type="pct"/>
            <w:tcMar>
              <w:top w:w="120" w:type="dxa"/>
              <w:left w:w="120" w:type="dxa"/>
              <w:bottom w:w="120" w:type="dxa"/>
              <w:right w:w="120" w:type="dxa"/>
            </w:tcMar>
            <w:vAlign w:val="center"/>
          </w:tcPr>
          <w:p w14:paraId="6179CE6D">
            <w:pPr>
              <w:pStyle w:val="38"/>
              <w:snapToGrid w:val="0"/>
            </w:pPr>
            <w:r>
              <w:t>协助开展第三方校准服务，提供</w:t>
            </w:r>
            <w:r>
              <w:rPr>
                <w:rFonts w:hint="eastAsia"/>
              </w:rPr>
              <w:t>无线电发射设备网络巡检服务、</w:t>
            </w:r>
            <w:r>
              <w:t>标准更新及查新报告，组织技术培训和交流活动，协助完成检测报告及比对工作，提供</w:t>
            </w:r>
            <w:r>
              <w:rPr>
                <w:rFonts w:hint="eastAsia"/>
              </w:rPr>
              <w:t>其他</w:t>
            </w:r>
            <w:r>
              <w:t>技术咨询支持</w:t>
            </w:r>
            <w:r>
              <w:rPr>
                <w:rFonts w:hint="eastAsia"/>
              </w:rPr>
              <w:t>。</w:t>
            </w:r>
          </w:p>
        </w:tc>
      </w:tr>
    </w:tbl>
    <w:p w14:paraId="735BB4FC">
      <w:pPr>
        <w:pStyle w:val="3"/>
        <w:spacing w:before="156"/>
        <w:ind w:firstLine="643"/>
      </w:pPr>
      <w:r>
        <w:t>2.3 团队保障措施</w:t>
      </w:r>
    </w:p>
    <w:p w14:paraId="203B10E6">
      <w:pPr>
        <w:ind w:firstLine="643"/>
      </w:pPr>
      <w:r>
        <w:rPr>
          <w:b/>
          <w:bCs/>
        </w:rPr>
        <w:t>人员稳定性保障：</w:t>
      </w:r>
      <w:r>
        <w:t>项目实施期间，项目组成员不得擅自更换，如需更换，须提前15个工作日书面报备，经同意后，更换人员的专业能力、工作经验不得低于原成员水平。</w:t>
      </w:r>
    </w:p>
    <w:p w14:paraId="15040A05">
      <w:pPr>
        <w:ind w:firstLine="643"/>
      </w:pPr>
      <w:r>
        <w:rPr>
          <w:b/>
          <w:bCs/>
        </w:rPr>
        <w:t>培训保障：</w:t>
      </w:r>
      <w:r>
        <w:t>定期组织项目组成员开展业务培训，内容包括检测设备操作、系统维护、故障排查、CNAS、CMA质量体系要求、相关标准更新等，确保团队专业能力持续提升，满足项目服务需求。</w:t>
      </w:r>
    </w:p>
    <w:p w14:paraId="570119B6">
      <w:pPr>
        <w:ind w:firstLine="643"/>
      </w:pPr>
      <w:r>
        <w:rPr>
          <w:b/>
          <w:bCs/>
        </w:rPr>
        <w:t>考勤管理：</w:t>
      </w:r>
      <w:r>
        <w:t>建立严格的考勤制度，本地专职技术人员实行全日制在岗，确保随时响应运维需求；项目负责人定期考勤，监督团队工作进度和服务质量。</w:t>
      </w:r>
    </w:p>
    <w:p w14:paraId="60444849">
      <w:pPr>
        <w:pStyle w:val="2"/>
        <w:spacing w:before="156"/>
        <w:ind w:firstLine="643"/>
      </w:pPr>
      <w:r>
        <w:t>三、</w:t>
      </w:r>
      <w:r>
        <w:rPr>
          <w:rFonts w:hint="eastAsia"/>
        </w:rPr>
        <w:t>项目实施</w:t>
      </w:r>
      <w:r>
        <w:t>方案</w:t>
      </w:r>
    </w:p>
    <w:p w14:paraId="36960B50">
      <w:r>
        <w:t>结合采购方需求，围绕总体要求，制定全方位、精细化的技术服务方案，涵盖支持服务、日常运维、定期巡检、第三方校准等所有服务内容，确保服务质量达标。</w:t>
      </w:r>
    </w:p>
    <w:p w14:paraId="353CBA07">
      <w:pPr>
        <w:pStyle w:val="3"/>
        <w:spacing w:before="156"/>
        <w:ind w:firstLine="643"/>
      </w:pPr>
      <w:r>
        <w:t>3.1 总体服务原则</w:t>
      </w:r>
    </w:p>
    <w:p w14:paraId="75B980B2">
      <w:r>
        <w:t>以“安全、高效、合规、优质”为核心原则，坚持“预防为主、防治结合”，强化日常维护和定期巡检，快速响应故障需求，严格遵循CNAS、CMA</w:t>
      </w:r>
      <w:r>
        <w:rPr>
          <w:rFonts w:hint="eastAsia"/>
        </w:rPr>
        <w:t>质量体系</w:t>
      </w:r>
      <w:r>
        <w:t>资质要求，确保检测系统、设备正常运行，公共检测服务平台高效运营，</w:t>
      </w:r>
      <w:r>
        <w:rPr>
          <w:rFonts w:hint="eastAsia"/>
        </w:rPr>
        <w:t>无线电发射设备网络巡检成果按时提交，</w:t>
      </w:r>
      <w:r>
        <w:t>全面满足</w:t>
      </w:r>
      <w:r>
        <w:rPr>
          <w:rFonts w:hint="eastAsia"/>
        </w:rPr>
        <w:t>项目</w:t>
      </w:r>
      <w:r>
        <w:t>要求。</w:t>
      </w:r>
    </w:p>
    <w:p w14:paraId="688B2AEB">
      <w:pPr>
        <w:pStyle w:val="3"/>
        <w:spacing w:before="156"/>
        <w:ind w:firstLine="643"/>
      </w:pPr>
      <w:r>
        <w:t>3.2 支持服务内容实施方案</w:t>
      </w:r>
    </w:p>
    <w:p w14:paraId="3DFA55C2">
      <w:pPr>
        <w:pStyle w:val="4"/>
        <w:spacing w:before="156"/>
        <w:ind w:firstLine="643"/>
      </w:pPr>
      <w:r>
        <w:t>3.2.1 公共检测服务平台运营维护</w:t>
      </w:r>
    </w:p>
    <w:p w14:paraId="47B8CBE4">
      <w:r>
        <w:t>指派1名及以上本地专职技术人员，负责公共检测服务平台的日常管理和维护，具体实施如下：</w:t>
      </w:r>
    </w:p>
    <w:p w14:paraId="1772D08F">
      <w:r>
        <w:rPr>
          <w:rFonts w:hint="eastAsia"/>
        </w:rPr>
        <w:t>1．</w:t>
      </w:r>
      <w:r>
        <w:t>设备管理维护：</w:t>
      </w:r>
      <w:r>
        <w:rPr>
          <w:rFonts w:hint="eastAsia"/>
        </w:rPr>
        <w:t>定期</w:t>
      </w:r>
      <w:r>
        <w:t>对平台相关设备（含检测设备、服务器、网络设备等）进行检查，查看设备运行状态、线缆连接情况，及时处理设备轻微故障；定期对设备进行清洁、保养，确保设备正常运行。</w:t>
      </w:r>
    </w:p>
    <w:p w14:paraId="08507C66">
      <w:r>
        <w:rPr>
          <w:rFonts w:hint="eastAsia"/>
        </w:rPr>
        <w:t>2．</w:t>
      </w:r>
      <w:r>
        <w:t>窗口服务与环境宣传：负责平台窗口接待工作，为服务对象提供检测咨询、业务引导等服务；按照采购方要求，布置平台工作环境，开展相关宣传工作，营造规范、有序的服务氛围。</w:t>
      </w:r>
    </w:p>
    <w:p w14:paraId="64499254">
      <w:r>
        <w:rPr>
          <w:rFonts w:hint="eastAsia"/>
        </w:rPr>
        <w:t>3．</w:t>
      </w:r>
      <w:r>
        <w:t>流程管理：负责平台检测预约、通知传达、</w:t>
      </w:r>
      <w:r>
        <w:rPr>
          <w:rFonts w:hint="eastAsia"/>
        </w:rPr>
        <w:t>测试</w:t>
      </w:r>
      <w:r>
        <w:t>对接等流程工作，建立完善的预约登记台账，及时反馈服务对象需求，确保流程顺畅、高效。</w:t>
      </w:r>
    </w:p>
    <w:p w14:paraId="757F88D0">
      <w:r>
        <w:rPr>
          <w:rFonts w:hint="eastAsia"/>
        </w:rPr>
        <w:t>4．</w:t>
      </w:r>
      <w:r>
        <w:t>技术培训与交流：根据采购方规划及服务对象需求，组织开展免费的专业技术培训和论坛交流活动，覆盖本省无线通信、卫星互联网、新能源汽车、智能医疗等骨干高科技产业，提前制定培训计划、准备培训资料，确保培训效果，并保留培训记录。</w:t>
      </w:r>
    </w:p>
    <w:p w14:paraId="38B08DC5">
      <w:r>
        <w:rPr>
          <w:rFonts w:hint="eastAsia"/>
        </w:rPr>
        <w:t>5．</w:t>
      </w:r>
      <w:r>
        <w:t>回访与需求征集：每半年对平台服务对象进行一次全面回访，通过电话、问卷、现场走访等方式，征集服务对象的需求和意见，形成回访报告，为平台服务优化提供依据。</w:t>
      </w:r>
    </w:p>
    <w:p w14:paraId="683BA24B">
      <w:r>
        <w:rPr>
          <w:rFonts w:hint="eastAsia"/>
        </w:rPr>
        <w:t>6．</w:t>
      </w:r>
      <w:r>
        <w:t>日常事务协助：协助开展实验室质量体系的维护和技术支撑工作，配合完成实验室日常管理、文件整理等相关事务，确保实验室运营合规。</w:t>
      </w:r>
    </w:p>
    <w:p w14:paraId="52CE0E62">
      <w:pPr>
        <w:pStyle w:val="4"/>
        <w:spacing w:before="156"/>
        <w:ind w:firstLine="643"/>
      </w:pPr>
      <w:r>
        <w:t>3.2.2 日常检测工作协助</w:t>
      </w:r>
    </w:p>
    <w:p w14:paraId="460A9819">
      <w:r>
        <w:t>协助完成各类日常检测工作，开展系统、设备日常巡检，具体包括：</w:t>
      </w:r>
    </w:p>
    <w:p w14:paraId="1F79D066">
      <w:r>
        <w:rPr>
          <w:rFonts w:hint="eastAsia"/>
        </w:rPr>
        <w:t>1．</w:t>
      </w:r>
      <w:r>
        <w:t>无线电设备检测协助：协助开展</w:t>
      </w:r>
      <w:r>
        <w:rPr>
          <w:rFonts w:hint="eastAsia"/>
        </w:rPr>
        <w:t>对讲机设备</w:t>
      </w:r>
      <w:r>
        <w:t>、</w:t>
      </w:r>
      <w:r>
        <w:rPr>
          <w:rFonts w:hint="eastAsia"/>
        </w:rPr>
        <w:t>无线接入</w:t>
      </w:r>
      <w:r>
        <w:t>设备、</w:t>
      </w:r>
      <w:r>
        <w:rPr>
          <w:rFonts w:hint="eastAsia"/>
        </w:rPr>
        <w:t>蓝牙</w:t>
      </w:r>
      <w:r>
        <w:t>设备等各类设备的检测工作，配合完成检测数据记录、报告整理等工作。</w:t>
      </w:r>
    </w:p>
    <w:p w14:paraId="1F3CA050">
      <w:r>
        <w:rPr>
          <w:rFonts w:hint="eastAsia"/>
        </w:rPr>
        <w:t>2．</w:t>
      </w:r>
      <w:r>
        <w:t>实验室自动化检测系统及</w:t>
      </w:r>
      <w:r>
        <w:rPr>
          <w:rFonts w:hint="eastAsia"/>
        </w:rPr>
        <w:t>检测设备</w:t>
      </w:r>
      <w:r>
        <w:t>巡检、维护：</w:t>
      </w:r>
      <w:r>
        <w:rPr>
          <w:rFonts w:hint="eastAsia"/>
        </w:rPr>
        <w:t>定期</w:t>
      </w:r>
      <w:r>
        <w:t>对实验室自动化检测系统、各类检测设备进行巡检，查看设备运行状态、软件运行情况，及时发现并处理轻微故障；定期对系统和设备进行维护保养，确保系统稳定运行、设备性能达标。</w:t>
      </w:r>
    </w:p>
    <w:p w14:paraId="73DEECEF">
      <w:r>
        <w:rPr>
          <w:rFonts w:hint="eastAsia"/>
        </w:rPr>
        <w:t>3．</w:t>
      </w:r>
      <w:r>
        <w:t>标准更新与文件修订：安排专人关注实验室相关标准（含部委文件）的更新动态，每6个月提供一次标准查新报告；协助完成标准变更及质量技术文件的修订工作，确保检测工作符合最新标准要求。</w:t>
      </w:r>
    </w:p>
    <w:p w14:paraId="4A347ECA">
      <w:r>
        <w:rPr>
          <w:rFonts w:hint="eastAsia"/>
        </w:rPr>
        <w:t>4．</w:t>
      </w:r>
      <w:r>
        <w:t>检测报告与比对协助：协助完成各类检测报告的编制、审核相关工作，配合开展实验室检测比对工作，确保检测数据准确、报告规范。</w:t>
      </w:r>
    </w:p>
    <w:p w14:paraId="5AF0EFDC">
      <w:r>
        <w:rPr>
          <w:rFonts w:hint="eastAsia"/>
        </w:rPr>
        <w:t>5．</w:t>
      </w:r>
      <w:r>
        <w:t>技术培训：制定完善的培训程序，针对新进技术人员和现有技术人员的新技术活动，开展专项培训，内容涵盖设备操作、系统维护、检测标准、故障排查等，培训结束后保留完整的培训记录，存档备查。</w:t>
      </w:r>
    </w:p>
    <w:p w14:paraId="682EBB03">
      <w:r>
        <w:rPr>
          <w:rFonts w:hint="eastAsia"/>
        </w:rPr>
        <w:t>6．</w:t>
      </w:r>
      <w:r>
        <w:t>现场技术支持：</w:t>
      </w:r>
      <w:r>
        <w:rPr>
          <w:rFonts w:hint="eastAsia"/>
        </w:rPr>
        <w:t>按需</w:t>
      </w:r>
      <w:r>
        <w:t>提供全方位的现场技术支持，协助解决检测过程中遇到的技术难题，确保检测工作顺利开展。</w:t>
      </w:r>
    </w:p>
    <w:p w14:paraId="63C9581A">
      <w:pPr>
        <w:pStyle w:val="4"/>
        <w:spacing w:before="156"/>
        <w:ind w:firstLine="643"/>
      </w:pPr>
      <w:r>
        <w:t>3.2.3 检测实验室环境巡检</w:t>
      </w:r>
    </w:p>
    <w:p w14:paraId="3E45BA82">
      <w:r>
        <w:t>定期对屏蔽室、电磁兼容实验室配套的电路、灯具、屏蔽门、空调系统、监控等设施进行巡检，具体实施如下：</w:t>
      </w:r>
    </w:p>
    <w:p w14:paraId="1410D7A2">
      <w:pPr>
        <w:ind w:firstLine="643"/>
      </w:pPr>
      <w:r>
        <w:rPr>
          <w:b/>
          <w:bCs/>
        </w:rPr>
        <w:t>巡检频率：</w:t>
      </w:r>
      <w:r>
        <w:t>每</w:t>
      </w:r>
      <w:r>
        <w:rPr>
          <w:rFonts w:hint="eastAsia"/>
        </w:rPr>
        <w:t>月</w:t>
      </w:r>
      <w:r>
        <w:t>开展一次全面巡检，重点部位（如屏蔽门、空调系统）</w:t>
      </w:r>
      <w:r>
        <w:rPr>
          <w:rFonts w:hint="eastAsia"/>
        </w:rPr>
        <w:t>定期</w:t>
      </w:r>
      <w:r>
        <w:t>进行抽查。</w:t>
      </w:r>
    </w:p>
    <w:p w14:paraId="652D237D">
      <w:pPr>
        <w:ind w:firstLine="643"/>
      </w:pPr>
      <w:r>
        <w:rPr>
          <w:b/>
          <w:bCs/>
        </w:rPr>
        <w:t>巡检内容：</w:t>
      </w:r>
      <w:r>
        <w:t>检查电路是否正常、有无破损；灯具是否完好、照明正常；屏蔽门关闭是否严密、密封性能良好；空调系统运行是否正常、温度湿度是否符合实验室要求；监控系统是否正常工作、画面清晰。</w:t>
      </w:r>
    </w:p>
    <w:p w14:paraId="0FB750C0">
      <w:pPr>
        <w:ind w:firstLine="643"/>
      </w:pPr>
      <w:r>
        <w:rPr>
          <w:rFonts w:hint="eastAsia"/>
          <w:b/>
          <w:bCs/>
        </w:rPr>
        <w:t>闭环</w:t>
      </w:r>
      <w:r>
        <w:rPr>
          <w:b/>
          <w:bCs/>
        </w:rPr>
        <w:t>处理：</w:t>
      </w:r>
      <w:r>
        <w:t>巡检过程中发现问题，及时记录并处理，轻微问题当场解决，重大问题立即上报，制定解决方案，限期整改；定期对实验室环境进行清洁，确保实验室整洁有序，符合CNAS、CMA资质要求。</w:t>
      </w:r>
    </w:p>
    <w:p w14:paraId="06A17D2B">
      <w:pPr>
        <w:pStyle w:val="3"/>
        <w:spacing w:before="156"/>
        <w:ind w:firstLine="643"/>
      </w:pPr>
      <w:r>
        <w:t>3.3 运行维护内容实施方案</w:t>
      </w:r>
    </w:p>
    <w:p w14:paraId="7C4B7C8F">
      <w:pPr>
        <w:pStyle w:val="4"/>
        <w:spacing w:before="156"/>
        <w:ind w:firstLine="643"/>
      </w:pPr>
      <w:r>
        <w:t>3.3.1 日常运维</w:t>
      </w:r>
    </w:p>
    <w:p w14:paraId="76F68503">
      <w:r>
        <w:t>按照采购需求要求，开展检测系统、设备、附件及实验室的日常维护保养，具体实施如下：</w:t>
      </w:r>
    </w:p>
    <w:p w14:paraId="6A59C916">
      <w:r>
        <w:rPr>
          <w:rFonts w:hint="eastAsia"/>
        </w:rPr>
        <w:t>1．</w:t>
      </w:r>
      <w:r>
        <w:t>日常维护保养：</w:t>
      </w:r>
      <w:r>
        <w:rPr>
          <w:rFonts w:hint="eastAsia"/>
        </w:rPr>
        <w:t>定期</w:t>
      </w:r>
      <w:r>
        <w:t>对运维清单内的所有设备、系统、附件进行检查，清洁设备表面，检查线缆连接、电源供应等情况；每月对实验室配套设施进行维护，确保各项设施正常运行。每季度末</w:t>
      </w:r>
      <w:r>
        <w:rPr>
          <w:rFonts w:hint="eastAsia"/>
        </w:rPr>
        <w:t>提交</w:t>
      </w:r>
      <w:r>
        <w:t>1份运行维护报告，详细说明本季度维护工作开展情况、设备运行状态、发现的问题及处理结果。</w:t>
      </w:r>
    </w:p>
    <w:p w14:paraId="11843AB8">
      <w:r>
        <w:rPr>
          <w:rFonts w:hint="eastAsia"/>
        </w:rPr>
        <w:t>2．</w:t>
      </w:r>
      <w:r>
        <w:t>故障处理：建立快速故障响应机制，针对不同类型故障，严格遵循响应时限和恢复时限要求：</w:t>
      </w:r>
    </w:p>
    <w:p w14:paraId="1A741FEF">
      <w:r>
        <w:rPr>
          <w:rFonts w:hint="eastAsia"/>
        </w:rPr>
        <w:t>（1）</w:t>
      </w:r>
      <w:r>
        <w:t>瘫痪故障：无线电检测设施和相关系统出现瘫痪，导致检测业务不能正常开展的，响应时限≤30分钟，业务恢复时限≤24小时；</w:t>
      </w:r>
    </w:p>
    <w:p w14:paraId="73F9E4BE">
      <w:r>
        <w:rPr>
          <w:rFonts w:hint="eastAsia"/>
        </w:rPr>
        <w:t>（2）</w:t>
      </w:r>
      <w:r>
        <w:t>重大隐患及功能故障：部分功能故障、系统性能下降以及可能造成瘫痪或业务中断的重大隐患，响应时限≤2小时，业务恢复时限≤48小时；</w:t>
      </w:r>
    </w:p>
    <w:p w14:paraId="54C953D2">
      <w:r>
        <w:rPr>
          <w:rFonts w:hint="eastAsia"/>
        </w:rPr>
        <w:t>（3）</w:t>
      </w:r>
      <w:r>
        <w:t>一般功能故障：部分功能、性能受影响，但检测业务及其他主要功能仍可正常运行的，响应时限≤12小时，业务恢复时限≤72小时。</w:t>
      </w:r>
    </w:p>
    <w:p w14:paraId="4AA17070">
      <w:r>
        <w:rPr>
          <w:rFonts w:hint="eastAsia"/>
        </w:rPr>
        <w:t>3．</w:t>
      </w:r>
      <w:r>
        <w:t>故障排查与报告：设备出现故障后，维护人员快速赶赴现场，排查故障原因，输出故障排查报告；对于检测软件、运行环境、附属设备等常见故障，现场快速排除解决；对于核心主设备（如仪表、天线、屏蔽室、电波暗室等）出现的严重故障，负责联系设备厂商，制定详细的故障解决方案（含设备维修报价、维修后保修期限等），在10个工作日内以书面形式提交。设备维修和检测费用单独另计，不在本项目范围内。</w:t>
      </w:r>
    </w:p>
    <w:p w14:paraId="2E6347AA">
      <w:r>
        <w:rPr>
          <w:rFonts w:hint="eastAsia"/>
        </w:rPr>
        <w:t>4．</w:t>
      </w:r>
      <w:r>
        <w:t>软件系统维护：定期对自动测试软件系统进行维护，检查软件运行状态；根据不确定度、技术标准、行业规范性文件等变化，及时更新检测系统报告模版，确保报告模版符合最新要求。</w:t>
      </w:r>
    </w:p>
    <w:p w14:paraId="31C10978">
      <w:pPr>
        <w:pStyle w:val="4"/>
        <w:spacing w:before="156"/>
        <w:ind w:firstLine="643"/>
      </w:pPr>
      <w:r>
        <w:t>3.3.2 定期巡检</w:t>
      </w:r>
    </w:p>
    <w:p w14:paraId="559509B9">
      <w:r>
        <w:t>严格按照采购需求要求，开展定期巡检工作，具体实施如下：</w:t>
      </w:r>
    </w:p>
    <w:p w14:paraId="51A2E2D6">
      <w:pPr>
        <w:ind w:firstLine="643"/>
      </w:pPr>
      <w:r>
        <w:rPr>
          <w:b/>
          <w:bCs/>
        </w:rPr>
        <w:t>巡检内容：</w:t>
      </w:r>
      <w:r>
        <w:t>涵盖运维清单内的所有检测系统、检测设备和检测附件，重点检查设备运行状态、性能参数、校准状态、线缆连接等情况，同时检查实验室环境配套设施运行情况。</w:t>
      </w:r>
    </w:p>
    <w:p w14:paraId="70E50368">
      <w:pPr>
        <w:ind w:firstLine="643"/>
      </w:pPr>
      <w:r>
        <w:rPr>
          <w:b/>
          <w:bCs/>
        </w:rPr>
        <w:t>时间要求：</w:t>
      </w:r>
      <w:r>
        <w:t>每</w:t>
      </w:r>
      <w:r>
        <w:rPr>
          <w:rFonts w:hint="eastAsia"/>
        </w:rPr>
        <w:t>季度</w:t>
      </w:r>
      <w:r>
        <w:t>完成一次全面巡检，巡检工作在每季度末前完成，确保巡检覆盖所有运维对象，无遗漏。</w:t>
      </w:r>
    </w:p>
    <w:p w14:paraId="1CC09A8E">
      <w:pPr>
        <w:ind w:firstLine="643"/>
      </w:pPr>
      <w:r>
        <w:rPr>
          <w:b/>
          <w:bCs/>
        </w:rPr>
        <w:t>巡检报告：</w:t>
      </w:r>
      <w:r>
        <w:t>每季度</w:t>
      </w:r>
      <w:r>
        <w:rPr>
          <w:rFonts w:hint="eastAsia"/>
        </w:rPr>
        <w:t>末</w:t>
      </w:r>
      <w:r>
        <w:t>，提交本季度巡检报告（按照采购需求附件2巡检项目及内容编制），报告需直观列出巡检中涉及的</w:t>
      </w:r>
      <w:r>
        <w:rPr>
          <w:rFonts w:hint="eastAsia"/>
        </w:rPr>
        <w:t>设备</w:t>
      </w:r>
      <w:r>
        <w:t>、巡检</w:t>
      </w:r>
      <w:r>
        <w:rPr>
          <w:rFonts w:hint="eastAsia"/>
        </w:rPr>
        <w:t>结果</w:t>
      </w:r>
      <w:r>
        <w:t>、合格判定方法及结论，确保报告内容真实、准确、完整。</w:t>
      </w:r>
    </w:p>
    <w:p w14:paraId="23F5F11C">
      <w:pPr>
        <w:pStyle w:val="4"/>
        <w:spacing w:before="156"/>
        <w:ind w:firstLine="643"/>
      </w:pPr>
      <w:r>
        <w:t>3.3.3 第三方校准服务</w:t>
      </w:r>
    </w:p>
    <w:p w14:paraId="2D2F8981">
      <w:r>
        <w:t>按照采购需求要求，协助开展第三方校准服务，承担相关费用，具体实施如下：</w:t>
      </w:r>
    </w:p>
    <w:p w14:paraId="13BAD489">
      <w:pPr>
        <w:ind w:firstLine="643"/>
      </w:pPr>
      <w:r>
        <w:rPr>
          <w:b/>
          <w:bCs/>
        </w:rPr>
        <w:t>校准设备范围：</w:t>
      </w:r>
      <w:r>
        <w:t>严格按照采购需求附件3设备校准清单，确定需进行计量校准的检测设备，确保无遗漏。</w:t>
      </w:r>
    </w:p>
    <w:p w14:paraId="017847DE">
      <w:pPr>
        <w:ind w:firstLine="643"/>
      </w:pPr>
      <w:r>
        <w:rPr>
          <w:b/>
          <w:bCs/>
        </w:rPr>
        <w:t>校准项目制定：</w:t>
      </w:r>
      <w:r>
        <w:t>设备校准前，编制详细的校准项目清单，协助制定校准项目，确保校准项目满足现有测试项目要求，符合CNAS、CMA资质相关规定。</w:t>
      </w:r>
    </w:p>
    <w:p w14:paraId="7E69B6AF">
      <w:pPr>
        <w:ind w:firstLine="643"/>
      </w:pPr>
      <w:r>
        <w:rPr>
          <w:b/>
          <w:bCs/>
        </w:rPr>
        <w:t>校准方案与供应商选择：</w:t>
      </w:r>
      <w:r>
        <w:t>设备校准前，按照确定的校准项目，制定详尽的校准方案；提供校准服务合格供应商评价，筛选具备相应计量资质的供应商，供应商资质需经认可后，方可开展校准工作。</w:t>
      </w:r>
    </w:p>
    <w:p w14:paraId="389249C4">
      <w:pPr>
        <w:ind w:firstLine="643"/>
      </w:pPr>
      <w:r>
        <w:rPr>
          <w:b/>
          <w:bCs/>
        </w:rPr>
        <w:t>校准后处理：</w:t>
      </w:r>
      <w:r>
        <w:t>设备校准完成后，对第三方校准单位出具的校准报告进行定量分析，在30个日历日内，完成校准评定报告；将检测系统设备校准值与设备技术参数进行对比，若超出规定范围，及时对系统进行相应补偿，并更新不确定报告。</w:t>
      </w:r>
    </w:p>
    <w:p w14:paraId="5F24C2B0">
      <w:pPr>
        <w:ind w:firstLine="643"/>
        <w:rPr>
          <w:highlight w:val="yellow"/>
        </w:rPr>
      </w:pPr>
      <w:r>
        <w:rPr>
          <w:b/>
          <w:bCs/>
          <w:highlight w:val="yellow"/>
        </w:rPr>
        <w:t>费用承担：</w:t>
      </w:r>
      <w:r>
        <w:rPr>
          <w:highlight w:val="yellow"/>
        </w:rPr>
        <w:t>不额外收取校准及相关运输费用等。</w:t>
      </w:r>
    </w:p>
    <w:p w14:paraId="204DB5A7">
      <w:pPr>
        <w:pStyle w:val="4"/>
        <w:spacing w:before="156"/>
        <w:ind w:firstLine="643"/>
      </w:pPr>
      <w:r>
        <w:t xml:space="preserve">3.3.4 </w:t>
      </w:r>
      <w:r>
        <w:rPr>
          <w:rFonts w:hint="eastAsia"/>
        </w:rPr>
        <w:t>质量体系</w:t>
      </w:r>
      <w:r>
        <w:t>运维服务</w:t>
      </w:r>
    </w:p>
    <w:p w14:paraId="04061ADA">
      <w:r>
        <w:t>严格遵循CNAS、CMA要求，</w:t>
      </w:r>
      <w:r>
        <w:rPr>
          <w:rFonts w:hint="eastAsia"/>
        </w:rPr>
        <w:t>维护实验室</w:t>
      </w:r>
      <w:r>
        <w:t>质量管理体系，</w:t>
      </w:r>
      <w:r>
        <w:rPr>
          <w:rFonts w:hint="eastAsia"/>
        </w:rPr>
        <w:t>相关检测系统、设备及质量管理体系运行</w:t>
      </w:r>
      <w:r>
        <w:t>合规、规范。</w:t>
      </w:r>
    </w:p>
    <w:p w14:paraId="5AD23BF9">
      <w:r>
        <w:rPr>
          <w:rFonts w:hint="eastAsia"/>
        </w:rPr>
        <w:t>提供实验室相关法规、文件、标准的更新信息，提供电子版最新标准，每6个月提供一次标准查新报告，协助完成标准变更及质量技术文件的修订。</w:t>
      </w:r>
    </w:p>
    <w:p w14:paraId="59E9F663">
      <w:pPr>
        <w:pStyle w:val="3"/>
        <w:spacing w:before="156"/>
        <w:ind w:firstLine="643"/>
      </w:pPr>
      <w:r>
        <w:t>3.4 公共检测服务平台专业培训和技术交流</w:t>
      </w:r>
    </w:p>
    <w:p w14:paraId="7F9E0B8D">
      <w:r>
        <w:t>协同采购方工作规划，结合本省无线通信、卫星互联网、新能源汽车、智能医疗等快速发展的骨干高科技产业需求，基于公共检测服务平台，组织横跨行业的免费检测技术培训和论坛交流活动，具体实施如下：</w:t>
      </w:r>
    </w:p>
    <w:p w14:paraId="6D2E2D63">
      <w:pPr>
        <w:ind w:firstLine="643"/>
      </w:pPr>
      <w:r>
        <w:rPr>
          <w:b/>
          <w:bCs/>
        </w:rPr>
        <w:t>活动规划：</w:t>
      </w:r>
      <w:r>
        <w:t>结合产业发展趋势和服务对象需求，</w:t>
      </w:r>
      <w:r>
        <w:rPr>
          <w:rFonts w:hint="eastAsia"/>
        </w:rPr>
        <w:t>协同</w:t>
      </w:r>
      <w:r>
        <w:t>制定年度培训和交流活动计划，明确活动主题、时间、地点、参与人员、内容等，报审核通过后实施。</w:t>
      </w:r>
    </w:p>
    <w:p w14:paraId="1F9010E6">
      <w:pPr>
        <w:ind w:firstLine="643"/>
      </w:pPr>
      <w:r>
        <w:rPr>
          <w:b/>
          <w:bCs/>
        </w:rPr>
        <w:t>活动实施：</w:t>
      </w:r>
      <w:r>
        <w:t>培训活动重点围绕无线电检测技术、设备操作、标准规范、行业发展趋势等内容，邀请行业专家、技术骨干进行授课；论坛交流活动围绕产业发展中的检测难题、技术创新等内容，组织企业、科研机构、行业协会等相关单位开展交流研讨，促进技术合作与提升。</w:t>
      </w:r>
    </w:p>
    <w:p w14:paraId="74E50A9D">
      <w:pPr>
        <w:ind w:firstLine="643"/>
      </w:pPr>
      <w:r>
        <w:rPr>
          <w:b/>
          <w:bCs/>
        </w:rPr>
        <w:t>活动保障：</w:t>
      </w:r>
      <w:r>
        <w:t>安排专人负责活动的组织、筹备工作，准备培训资料、场地布置、设备调试等，确保活动顺利开展；活动结束后，整理活动总结、培训记录等</w:t>
      </w:r>
      <w:r>
        <w:rPr>
          <w:rFonts w:hint="eastAsia"/>
        </w:rPr>
        <w:t>归档</w:t>
      </w:r>
      <w:r>
        <w:t>资料。</w:t>
      </w:r>
    </w:p>
    <w:p w14:paraId="11D518AE">
      <w:pPr>
        <w:pStyle w:val="3"/>
        <w:spacing w:before="156"/>
        <w:ind w:firstLine="643"/>
      </w:pPr>
      <w:r>
        <w:t>3.5 无线电发射设备管理宣讲活动</w:t>
      </w:r>
    </w:p>
    <w:p w14:paraId="37209790">
      <w:r>
        <w:t>深化无线电发射设备型号核准改革成效，赋能无线经济，协同采购方工作规划，结合本省产业特色，协助提供无线电发射设备管理政策宣讲服务，具体实施如下：</w:t>
      </w:r>
    </w:p>
    <w:p w14:paraId="78634CAC">
      <w:pPr>
        <w:ind w:firstLine="643"/>
      </w:pPr>
      <w:r>
        <w:rPr>
          <w:b/>
          <w:bCs/>
        </w:rPr>
        <w:t>宣讲规划：</w:t>
      </w:r>
      <w:r>
        <w:t>结合本省无线电发射设备产业特点，协助制定宣讲计划，明确宣讲对象（企业、经销商、相关单位等）、宣讲内容、宣讲时间和地点。</w:t>
      </w:r>
    </w:p>
    <w:p w14:paraId="148148C4">
      <w:pPr>
        <w:ind w:firstLine="643"/>
      </w:pPr>
      <w:r>
        <w:rPr>
          <w:b/>
          <w:bCs/>
        </w:rPr>
        <w:t>宣讲内容：</w:t>
      </w:r>
      <w:r>
        <w:t>重点围绕无线电发射设备型号核准政策、管理规范、改革措施、违法违规行为处理等内容，结合实际案例，进行通俗易懂的宣讲，帮助宣讲对象准确理解政策要求。</w:t>
      </w:r>
    </w:p>
    <w:p w14:paraId="3ED1386E">
      <w:pPr>
        <w:ind w:firstLine="643"/>
      </w:pPr>
      <w:r>
        <w:rPr>
          <w:b/>
          <w:bCs/>
        </w:rPr>
        <w:t>宣讲实施：</w:t>
      </w:r>
      <w:r>
        <w:t>安排专业技术人员配合开展宣讲工作，负责宣讲资料准备、现场组织、技术解答等工作，确保宣讲效果；宣讲结束后，整理宣讲情况报告。</w:t>
      </w:r>
    </w:p>
    <w:p w14:paraId="7B6EBAC2">
      <w:pPr>
        <w:pStyle w:val="3"/>
        <w:spacing w:before="156"/>
        <w:ind w:firstLine="643"/>
      </w:pPr>
      <w:r>
        <w:t xml:space="preserve">3.6 </w:t>
      </w:r>
      <w:r>
        <w:rPr>
          <w:rFonts w:hint="eastAsia"/>
        </w:rPr>
        <w:t>无线电发射设备网络巡检</w:t>
      </w:r>
      <w:r>
        <w:t>服务</w:t>
      </w:r>
    </w:p>
    <w:p w14:paraId="61FFACC5">
      <w:r>
        <w:rPr>
          <w:rFonts w:hint="eastAsia"/>
        </w:rPr>
        <w:t>对各网络交易平台上销售的无线电发射设备（不在网络进行销售的除外）进行巡检，每季度巡检型号数量原则上不少于100款，编制季度总结报告、半年总结报告和年度工作总结报告。</w:t>
      </w:r>
      <w:r>
        <w:t>具体实施如下：</w:t>
      </w:r>
    </w:p>
    <w:p w14:paraId="2893EAFE">
      <w:pPr>
        <w:ind w:firstLine="643"/>
      </w:pPr>
      <w:r>
        <w:rPr>
          <w:rFonts w:hint="eastAsia"/>
          <w:b/>
          <w:bCs/>
        </w:rPr>
        <w:t>巡检</w:t>
      </w:r>
      <w:r>
        <w:rPr>
          <w:b/>
          <w:bCs/>
        </w:rPr>
        <w:t>实施：</w:t>
      </w:r>
      <w:r>
        <w:rPr>
          <w:rFonts w:hint="eastAsia"/>
        </w:rPr>
        <w:t>根据巡检</w:t>
      </w:r>
      <w:r>
        <w:t>需求</w:t>
      </w:r>
      <w:r>
        <w:rPr>
          <w:rFonts w:hint="eastAsia"/>
        </w:rPr>
        <w:t>设置巡检的销售平台、设备类型等范围，针对性开展巡检，做到每个设备均与工信部官网信息进行比对一一核查，</w:t>
      </w:r>
      <w:r>
        <w:t>确保</w:t>
      </w:r>
      <w:r>
        <w:rPr>
          <w:rFonts w:hint="eastAsia"/>
        </w:rPr>
        <w:t>巡检结果</w:t>
      </w:r>
      <w:r>
        <w:t>准确、可靠。</w:t>
      </w:r>
    </w:p>
    <w:p w14:paraId="4DAADB8E">
      <w:pPr>
        <w:ind w:firstLine="643"/>
      </w:pPr>
      <w:r>
        <w:rPr>
          <w:rFonts w:hint="eastAsia"/>
          <w:b/>
          <w:bCs/>
        </w:rPr>
        <w:t>问题线索</w:t>
      </w:r>
      <w:r>
        <w:rPr>
          <w:b/>
          <w:bCs/>
        </w:rPr>
        <w:t>：</w:t>
      </w:r>
      <w:r>
        <w:t>对</w:t>
      </w:r>
      <w:r>
        <w:rPr>
          <w:rFonts w:hint="eastAsia"/>
        </w:rPr>
        <w:t>每设备的型号、设备类型、核准代码、网销网址、有效信息截图等信息进行记录，形成问题线索单页</w:t>
      </w:r>
      <w:r>
        <w:t>。</w:t>
      </w:r>
    </w:p>
    <w:p w14:paraId="2EB5A2CA">
      <w:pPr>
        <w:ind w:firstLine="643"/>
      </w:pPr>
      <w:r>
        <w:rPr>
          <w:b/>
          <w:bCs/>
        </w:rPr>
        <w:t>报告出具：</w:t>
      </w:r>
      <w:r>
        <w:rPr>
          <w:rFonts w:hint="eastAsia"/>
        </w:rPr>
        <w:t>每季度对收集到的问题线索信息进行汇总统计，编制季度报告；开展半年度的信息汇总统计，编制半年报告；年终进行全年巡检结果的汇总统计，编制年度总结报告。</w:t>
      </w:r>
    </w:p>
    <w:p w14:paraId="23B54E2F">
      <w:pPr>
        <w:pStyle w:val="3"/>
        <w:spacing w:before="156"/>
        <w:ind w:firstLine="643"/>
      </w:pPr>
      <w:r>
        <w:t>3.</w:t>
      </w:r>
      <w:r>
        <w:rPr>
          <w:rFonts w:hint="eastAsia"/>
        </w:rPr>
        <w:t>7</w:t>
      </w:r>
      <w:r>
        <w:t xml:space="preserve"> </w:t>
      </w:r>
      <w:r>
        <w:rPr>
          <w:rFonts w:hint="eastAsia"/>
        </w:rPr>
        <w:t>无线电发射设备型号核准自检自证咨询服务</w:t>
      </w:r>
    </w:p>
    <w:p w14:paraId="7D851C30">
      <w:r>
        <w:rPr>
          <w:rFonts w:hint="eastAsia"/>
        </w:rPr>
        <w:t>协同采购方为本省无线电发射设备型号核准自检自证试点企业提供咨询服务。</w:t>
      </w:r>
      <w:r>
        <w:t>具体实施如下：</w:t>
      </w:r>
    </w:p>
    <w:p w14:paraId="769769B3">
      <w:pPr>
        <w:ind w:firstLine="643"/>
        <w:rPr>
          <w:rFonts w:hint="eastAsia"/>
        </w:rPr>
      </w:pPr>
      <w:r>
        <w:rPr>
          <w:rFonts w:hint="eastAsia"/>
          <w:b/>
          <w:bCs/>
        </w:rPr>
        <w:t>政策解读</w:t>
      </w:r>
      <w:r>
        <w:rPr>
          <w:b/>
          <w:bCs/>
        </w:rPr>
        <w:t>：</w:t>
      </w:r>
      <w:r>
        <w:t>无线电发射设备型号核准政策</w:t>
      </w:r>
      <w:r>
        <w:rPr>
          <w:rFonts w:hint="eastAsia"/>
        </w:rPr>
        <w:t>，</w:t>
      </w:r>
      <w:r>
        <w:t>最新自检自证规则</w:t>
      </w:r>
      <w:r>
        <w:rPr>
          <w:rFonts w:hint="eastAsia"/>
        </w:rPr>
        <w:t>，帮助企业准确理解最新政策。</w:t>
      </w:r>
    </w:p>
    <w:p w14:paraId="5375C411">
      <w:pPr>
        <w:ind w:firstLine="643"/>
        <w:rPr>
          <w:rFonts w:hint="eastAsia"/>
        </w:rPr>
      </w:pPr>
      <w:r>
        <w:rPr>
          <w:rFonts w:hint="eastAsia"/>
          <w:b/>
          <w:bCs/>
        </w:rPr>
        <w:t>检测服务培训</w:t>
      </w:r>
      <w:r>
        <w:rPr>
          <w:b/>
          <w:bCs/>
        </w:rPr>
        <w:t>：</w:t>
      </w:r>
      <w:r>
        <w:rPr>
          <w:rFonts w:hint="eastAsia"/>
        </w:rPr>
        <w:t>针对企业产业特色，提供精确检测技术服务培训，帮助企业提升自身检测能力。</w:t>
      </w:r>
    </w:p>
    <w:p w14:paraId="4FF2A8E4">
      <w:pPr>
        <w:pStyle w:val="2"/>
        <w:spacing w:before="156"/>
        <w:ind w:firstLine="643"/>
      </w:pPr>
      <w:r>
        <w:rPr>
          <w:rFonts w:hint="eastAsia"/>
        </w:rPr>
        <w:t>四</w:t>
      </w:r>
      <w:r>
        <w:t>、服务保障措施</w:t>
      </w:r>
    </w:p>
    <w:p w14:paraId="2B46155C">
      <w:r>
        <w:t>为确保项目服务质量和效率，从技术、人员、应急、沟通等多个方面，制定完善的服务保障措施，全面支撑项目顺利实施。</w:t>
      </w:r>
    </w:p>
    <w:p w14:paraId="3AAE3ECB">
      <w:pPr>
        <w:pStyle w:val="3"/>
        <w:spacing w:before="156"/>
        <w:ind w:firstLine="643"/>
      </w:pPr>
      <w:r>
        <w:rPr>
          <w:rFonts w:hint="eastAsia"/>
        </w:rPr>
        <w:t>4</w:t>
      </w:r>
      <w:r>
        <w:t>.1 技术保障</w:t>
      </w:r>
    </w:p>
    <w:p w14:paraId="49ABB974">
      <w:pPr>
        <w:ind w:firstLine="643"/>
      </w:pPr>
      <w:r>
        <w:rPr>
          <w:b/>
          <w:bCs/>
        </w:rPr>
        <w:t>技术团队保障：</w:t>
      </w:r>
      <w:r>
        <w:t>组建专业的技术团队，团队成员具备丰富的无线电检测设施运维经验，能够熟练处理各类技术问题；定期组织技术培训和交流，提升团队专业能力。</w:t>
      </w:r>
    </w:p>
    <w:p w14:paraId="5BF66A76">
      <w:pPr>
        <w:ind w:firstLine="643"/>
      </w:pPr>
      <w:r>
        <w:rPr>
          <w:b/>
          <w:bCs/>
        </w:rPr>
        <w:t>技术资源保障：</w:t>
      </w:r>
      <w:r>
        <w:t>配备充足的运维工具、检测设备和耗材，确保故障处理、巡检、维护等工作顺利开展；与设备厂商建立长期合作关系，及时获取设备技术支持和维修服务，确保重大故障能够快速解决。</w:t>
      </w:r>
    </w:p>
    <w:p w14:paraId="175F0A1C">
      <w:pPr>
        <w:ind w:firstLine="643"/>
      </w:pPr>
      <w:r>
        <w:rPr>
          <w:b/>
          <w:bCs/>
        </w:rPr>
        <w:t>技术创新保障：</w:t>
      </w:r>
      <w:r>
        <w:t>关注行业技术发展趋势，积极引入先进的运维技术和方法，优化运维服务流程，提升服务效率和质量。</w:t>
      </w:r>
    </w:p>
    <w:p w14:paraId="34139476">
      <w:pPr>
        <w:pStyle w:val="3"/>
        <w:spacing w:before="156"/>
        <w:ind w:firstLine="643"/>
      </w:pPr>
      <w:r>
        <w:rPr>
          <w:rFonts w:hint="eastAsia"/>
        </w:rPr>
        <w:t>4</w:t>
      </w:r>
      <w:r>
        <w:t>.2 人员保障</w:t>
      </w:r>
    </w:p>
    <w:p w14:paraId="6E3346DC">
      <w:pPr>
        <w:ind w:firstLine="643"/>
      </w:pPr>
      <w:r>
        <w:rPr>
          <w:b/>
          <w:bCs/>
        </w:rPr>
        <w:t>人员配置保障：</w:t>
      </w:r>
      <w:r>
        <w:t>严格按照采购需求要求，配置足够数量的专业技术人员，确保团队人员稳定，不擅自更换。</w:t>
      </w:r>
    </w:p>
    <w:p w14:paraId="40325783">
      <w:pPr>
        <w:ind w:firstLine="643"/>
      </w:pPr>
      <w:r>
        <w:rPr>
          <w:b/>
          <w:bCs/>
        </w:rPr>
        <w:t>人员培训保障：</w:t>
      </w:r>
      <w:r>
        <w:t>建立培训</w:t>
      </w:r>
      <w:r>
        <w:rPr>
          <w:rFonts w:hint="eastAsia"/>
        </w:rPr>
        <w:t>计划</w:t>
      </w:r>
      <w:r>
        <w:t>，定期组织项目组成员开展业务培训、技术培训和安全培训，确保人员专业能力和安全意识持续提升。</w:t>
      </w:r>
    </w:p>
    <w:p w14:paraId="4509B352">
      <w:pPr>
        <w:pStyle w:val="3"/>
        <w:spacing w:before="156"/>
        <w:ind w:firstLine="643"/>
      </w:pPr>
      <w:r>
        <w:rPr>
          <w:rFonts w:hint="eastAsia"/>
        </w:rPr>
        <w:t>4</w:t>
      </w:r>
      <w:r>
        <w:t>.3 应急保障</w:t>
      </w:r>
    </w:p>
    <w:p w14:paraId="203122B0">
      <w:r>
        <w:t>建立完善的应急响应机制，应对各类突发故障和紧急情况，确保检测业务不受重大影响：</w:t>
      </w:r>
    </w:p>
    <w:p w14:paraId="180C81DF">
      <w:pPr>
        <w:ind w:firstLine="643"/>
      </w:pPr>
      <w:r>
        <w:rPr>
          <w:b/>
          <w:bCs/>
        </w:rPr>
        <w:t>应急团队：</w:t>
      </w:r>
      <w:r>
        <w:t>明确应急负责人和</w:t>
      </w:r>
      <w:r>
        <w:rPr>
          <w:rFonts w:hint="eastAsia"/>
        </w:rPr>
        <w:t>维保</w:t>
      </w:r>
      <w:r>
        <w:t>人员，确保应急响应时能够快速到位。</w:t>
      </w:r>
    </w:p>
    <w:p w14:paraId="32DF09E0">
      <w:pPr>
        <w:ind w:firstLine="643"/>
      </w:pPr>
      <w:r>
        <w:rPr>
          <w:b/>
          <w:bCs/>
        </w:rPr>
        <w:t>应急物资：</w:t>
      </w:r>
      <w:r>
        <w:t>配备充足的应急抢修工具、备件和耗材，存放在指定位置，便于应急使用。</w:t>
      </w:r>
    </w:p>
    <w:p w14:paraId="318AA341">
      <w:pPr>
        <w:ind w:firstLine="643"/>
      </w:pPr>
      <w:r>
        <w:rPr>
          <w:b/>
          <w:bCs/>
        </w:rPr>
        <w:t>应急流程：</w:t>
      </w:r>
      <w:r>
        <w:t>制定应急处理流程，明确各类突发故障的处理步骤、响应时限和责任分工，确保应急处理工作有序、高效。</w:t>
      </w:r>
    </w:p>
    <w:p w14:paraId="2644F3F9">
      <w:pPr>
        <w:pStyle w:val="3"/>
        <w:spacing w:before="156"/>
        <w:ind w:firstLine="643"/>
      </w:pPr>
      <w:r>
        <w:rPr>
          <w:rFonts w:hint="eastAsia"/>
        </w:rPr>
        <w:t>4</w:t>
      </w:r>
      <w:r>
        <w:t>.4 沟通保障</w:t>
      </w:r>
    </w:p>
    <w:p w14:paraId="3E507199">
      <w:pPr>
        <w:ind w:firstLine="643"/>
      </w:pPr>
      <w:r>
        <w:rPr>
          <w:b/>
          <w:bCs/>
        </w:rPr>
        <w:t>沟通机制：</w:t>
      </w:r>
      <w:r>
        <w:t>建立常态化沟通机制，明确沟通人员、沟通方式和沟通频率，确保信息传递及时、准确。</w:t>
      </w:r>
    </w:p>
    <w:p w14:paraId="2F22C1C4">
      <w:pPr>
        <w:ind w:firstLine="643"/>
      </w:pPr>
      <w:r>
        <w:rPr>
          <w:b/>
          <w:bCs/>
        </w:rPr>
        <w:t>沟通方式：</w:t>
      </w:r>
      <w:r>
        <w:t>采用电话、邮件、现场会议等多种沟通方式，及时汇报服务开展情况，反馈设备运行状态，听取意见和建议；针对重大问题，及时组织现场会议，共同协商解决。</w:t>
      </w:r>
    </w:p>
    <w:p w14:paraId="651812E5">
      <w:pPr>
        <w:pStyle w:val="3"/>
        <w:spacing w:before="156"/>
        <w:ind w:firstLine="643"/>
      </w:pPr>
      <w:r>
        <w:rPr>
          <w:rFonts w:hint="eastAsia"/>
        </w:rPr>
        <w:t>4</w:t>
      </w:r>
      <w:r>
        <w:t>.5 安全保障</w:t>
      </w:r>
    </w:p>
    <w:p w14:paraId="6799BF38">
      <w:pPr>
        <w:ind w:firstLine="643"/>
      </w:pPr>
      <w:r>
        <w:rPr>
          <w:rFonts w:hint="eastAsia"/>
          <w:b/>
          <w:bCs/>
        </w:rPr>
        <w:t>实验室</w:t>
      </w:r>
      <w:r>
        <w:rPr>
          <w:b/>
          <w:bCs/>
        </w:rPr>
        <w:t>安全：</w:t>
      </w:r>
      <w:r>
        <w:t>严格按照</w:t>
      </w:r>
      <w:r>
        <w:rPr>
          <w:rFonts w:hint="eastAsia"/>
        </w:rPr>
        <w:t>实验室</w:t>
      </w:r>
      <w:r>
        <w:t>操作规程开展运维工作，防止设备损坏、丢失；定期对设备进行安全检查，及时消除安全隐患</w:t>
      </w:r>
      <w:r>
        <w:rPr>
          <w:rFonts w:hint="eastAsia"/>
        </w:rPr>
        <w:t>；定期巡查消防、防汛相关机要部位，防止出现相关事故</w:t>
      </w:r>
      <w:r>
        <w:t>。</w:t>
      </w:r>
    </w:p>
    <w:p w14:paraId="1049B3FE">
      <w:pPr>
        <w:ind w:firstLine="643"/>
      </w:pPr>
      <w:r>
        <w:rPr>
          <w:b/>
          <w:bCs/>
        </w:rPr>
        <w:t>数据安全：</w:t>
      </w:r>
      <w:r>
        <w:t>加强检测数据、报告、台账等相关资料的管理，建立数据备份机制，防止数据丢失、泄露；严格遵守数据管理规定，不擅自泄露相关信息。</w:t>
      </w:r>
    </w:p>
    <w:p w14:paraId="6542262A">
      <w:pPr>
        <w:ind w:firstLine="643"/>
      </w:pPr>
      <w:r>
        <w:rPr>
          <w:b/>
          <w:bCs/>
        </w:rPr>
        <w:t>人员安全：</w:t>
      </w:r>
      <w:r>
        <w:t>开展安全培训，提高技术人员安全意识，规范操作流程，防止人身伤害事故发生；配备必要的安全防护用品，确保人员安全。</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汉仪中宋简"/>
    <w:panose1 w:val="02010600030101010101"/>
    <w:charset w:val="86"/>
    <w:family w:val="auto"/>
    <w:pitch w:val="default"/>
    <w:sig w:usb0="00000000" w:usb1="00000000" w:usb2="00000016" w:usb3="00000000" w:csb0="0004000F" w:csb1="00000000"/>
  </w:font>
  <w:font w:name="汉仪中宋简">
    <w:panose1 w:val="02010600000101010101"/>
    <w:charset w:val="86"/>
    <w:family w:val="auto"/>
    <w:pitch w:val="default"/>
    <w:sig w:usb0="00000001" w:usb1="080E0800" w:usb2="00000002" w:usb3="00000000" w:csb0="00040000" w:csb1="00000000"/>
  </w:font>
  <w:font w:name="等线">
    <w:altName w:val="仿宋_GB2312"/>
    <w:panose1 w:val="00000000000000000000"/>
    <w:charset w:val="86"/>
    <w:family w:val="auto"/>
    <w:pitch w:val="default"/>
    <w:sig w:usb0="00000000" w:usb1="00000000" w:usb2="00000000" w:usb3="00000000" w:csb0="00000000" w:csb1="00000000"/>
  </w:font>
  <w:font w:name="等线">
    <w:altName w:val="仿宋_GB2312"/>
    <w:panose1 w:val="00000000000000000000"/>
    <w:charset w:val="00"/>
    <w:family w:val="auto"/>
    <w:pitch w:val="default"/>
    <w:sig w:usb0="00000000" w:usb1="00000000" w:usb2="00000000" w:usb3="00000000" w:csb0="0000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等线 Light">
    <w:altName w:val="汉仪中宋简"/>
    <w:panose1 w:val="02010600030101010101"/>
    <w:charset w:val="86"/>
    <w:family w:val="auto"/>
    <w:pitch w:val="default"/>
    <w:sig w:usb0="00000000" w:usb1="00000000" w:usb2="00000016" w:usb3="00000000" w:csb0="0004000F" w:csb1="00000000"/>
  </w:font>
  <w:font w:name="华文中宋">
    <w:altName w:val="汉仪中宋简"/>
    <w:panose1 w:val="02010600040101010101"/>
    <w:charset w:val="86"/>
    <w:family w:val="auto"/>
    <w:pitch w:val="default"/>
    <w:sig w:usb0="00000000" w:usb1="00000000" w:usb2="00000010" w:usb3="00000000" w:csb0="0004009F" w:csb1="00000000"/>
  </w:font>
  <w:font w:name="国标黑体">
    <w:panose1 w:val="020005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00634D">
    <w:pPr>
      <w:pStyle w:val="1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83D3B">
    <w:pPr>
      <w:pStyle w:val="1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69E1C5">
    <w:pPr>
      <w:pStyle w:val="1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D0A2C">
    <w:pPr>
      <w:pStyle w:val="1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47F91">
    <w:pPr>
      <w:pStyle w:val="1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61F6B">
    <w:pPr>
      <w:pStyle w:val="1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831"/>
    <w:rsid w:val="00086D73"/>
    <w:rsid w:val="001B19CC"/>
    <w:rsid w:val="001E243A"/>
    <w:rsid w:val="00235CD1"/>
    <w:rsid w:val="002E0E99"/>
    <w:rsid w:val="00313432"/>
    <w:rsid w:val="00355830"/>
    <w:rsid w:val="00367A39"/>
    <w:rsid w:val="00405241"/>
    <w:rsid w:val="00411EF0"/>
    <w:rsid w:val="00451148"/>
    <w:rsid w:val="0046207D"/>
    <w:rsid w:val="00516985"/>
    <w:rsid w:val="0064572B"/>
    <w:rsid w:val="00653A4B"/>
    <w:rsid w:val="006957B4"/>
    <w:rsid w:val="007766BA"/>
    <w:rsid w:val="007C3C24"/>
    <w:rsid w:val="009836BB"/>
    <w:rsid w:val="00983AA0"/>
    <w:rsid w:val="0099295B"/>
    <w:rsid w:val="00994831"/>
    <w:rsid w:val="009D5900"/>
    <w:rsid w:val="00A07EC2"/>
    <w:rsid w:val="00A66421"/>
    <w:rsid w:val="00A7387D"/>
    <w:rsid w:val="00AB74D8"/>
    <w:rsid w:val="00AF20FA"/>
    <w:rsid w:val="00B6406D"/>
    <w:rsid w:val="00B67D53"/>
    <w:rsid w:val="00D3557E"/>
    <w:rsid w:val="00DD4B69"/>
    <w:rsid w:val="00E461CD"/>
    <w:rsid w:val="00EB63B6"/>
    <w:rsid w:val="31D3E77C"/>
    <w:rsid w:val="6DF65188"/>
    <w:rsid w:val="BF3B8C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both"/>
    </w:pPr>
    <w:rPr>
      <w:rFonts w:ascii="Times New Roman" w:hAnsi="Times New Roman" w:eastAsia="仿宋" w:cstheme="minorBidi"/>
      <w:kern w:val="2"/>
      <w:sz w:val="32"/>
      <w:szCs w:val="22"/>
      <w:lang w:val="en-US" w:eastAsia="zh-CN" w:bidi="ar-SA"/>
    </w:rPr>
  </w:style>
  <w:style w:type="paragraph" w:styleId="2">
    <w:name w:val="heading 1"/>
    <w:basedOn w:val="1"/>
    <w:next w:val="1"/>
    <w:link w:val="20"/>
    <w:qFormat/>
    <w:uiPriority w:val="9"/>
    <w:pPr>
      <w:keepNext/>
      <w:keepLines/>
      <w:spacing w:before="50" w:beforeLines="50"/>
      <w:ind w:firstLine="200"/>
      <w:outlineLvl w:val="0"/>
    </w:pPr>
    <w:rPr>
      <w:rFonts w:eastAsia="黑体"/>
      <w:b/>
      <w:bCs/>
      <w:kern w:val="44"/>
      <w:szCs w:val="44"/>
    </w:rPr>
  </w:style>
  <w:style w:type="paragraph" w:styleId="3">
    <w:name w:val="heading 2"/>
    <w:basedOn w:val="1"/>
    <w:next w:val="1"/>
    <w:link w:val="21"/>
    <w:unhideWhenUsed/>
    <w:qFormat/>
    <w:uiPriority w:val="9"/>
    <w:pPr>
      <w:keepNext/>
      <w:keepLines/>
      <w:spacing w:before="50" w:beforeLines="50"/>
      <w:ind w:firstLine="200"/>
      <w:outlineLvl w:val="1"/>
    </w:pPr>
    <w:rPr>
      <w:rFonts w:eastAsia="楷体"/>
      <w:b/>
    </w:rPr>
  </w:style>
  <w:style w:type="paragraph" w:styleId="4">
    <w:name w:val="heading 3"/>
    <w:basedOn w:val="1"/>
    <w:next w:val="1"/>
    <w:link w:val="22"/>
    <w:unhideWhenUsed/>
    <w:qFormat/>
    <w:uiPriority w:val="9"/>
    <w:pPr>
      <w:keepNext/>
      <w:keepLines/>
      <w:spacing w:before="50" w:beforeLines="50"/>
      <w:ind w:firstLine="200"/>
      <w:outlineLvl w:val="2"/>
    </w:pPr>
    <w:rPr>
      <w:b/>
      <w:bCs/>
      <w:szCs w:val="32"/>
    </w:rPr>
  </w:style>
  <w:style w:type="paragraph" w:styleId="5">
    <w:name w:val="heading 4"/>
    <w:basedOn w:val="1"/>
    <w:next w:val="1"/>
    <w:link w:val="23"/>
    <w:semiHidden/>
    <w:unhideWhenUsed/>
    <w:qFormat/>
    <w:uiPriority w:val="9"/>
    <w:pPr>
      <w:keepNext/>
      <w:keepLines/>
      <w:ind w:firstLine="200"/>
      <w:outlineLvl w:val="3"/>
    </w:pPr>
    <w:rPr>
      <w:b/>
    </w:rPr>
  </w:style>
  <w:style w:type="paragraph" w:styleId="6">
    <w:name w:val="heading 5"/>
    <w:basedOn w:val="1"/>
    <w:next w:val="1"/>
    <w:link w:val="24"/>
    <w:semiHidden/>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25"/>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26"/>
    <w:semiHidden/>
    <w:unhideWhenUsed/>
    <w:qFormat/>
    <w:uiPriority w:val="9"/>
    <w:pPr>
      <w:keepNext/>
      <w:keepLines/>
      <w:spacing w:before="240" w:after="64" w:line="320" w:lineRule="auto"/>
      <w:outlineLvl w:val="6"/>
    </w:pPr>
    <w:rPr>
      <w:b/>
      <w:bCs/>
      <w:sz w:val="24"/>
      <w:szCs w:val="24"/>
    </w:rPr>
  </w:style>
  <w:style w:type="paragraph" w:styleId="9">
    <w:name w:val="heading 8"/>
    <w:basedOn w:val="1"/>
    <w:next w:val="1"/>
    <w:link w:val="27"/>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28"/>
    <w:semiHidden/>
    <w:unhideWhenUsed/>
    <w:qFormat/>
    <w:uiPriority w:val="9"/>
    <w:pPr>
      <w:keepNext/>
      <w:keepLines/>
      <w:spacing w:before="240" w:after="64" w:line="320" w:lineRule="auto"/>
      <w:outlineLvl w:val="8"/>
    </w:pPr>
    <w:rPr>
      <w:rFonts w:asciiTheme="majorHAnsi" w:hAnsiTheme="majorHAnsi" w:eastAsiaTheme="majorEastAsia" w:cstheme="majorBidi"/>
      <w:sz w:val="21"/>
      <w:szCs w:val="21"/>
    </w:rPr>
  </w:style>
  <w:style w:type="character" w:default="1" w:styleId="18">
    <w:name w:val="Default Paragraph Font"/>
    <w:unhideWhenUsed/>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11">
    <w:name w:val="caption"/>
    <w:basedOn w:val="1"/>
    <w:next w:val="1"/>
    <w:semiHidden/>
    <w:unhideWhenUsed/>
    <w:qFormat/>
    <w:uiPriority w:val="35"/>
    <w:rPr>
      <w:rFonts w:eastAsia="黑体" w:asciiTheme="majorHAnsi" w:hAnsiTheme="majorHAnsi" w:cstheme="majorBidi"/>
      <w:sz w:val="20"/>
      <w:szCs w:val="20"/>
    </w:rPr>
  </w:style>
  <w:style w:type="paragraph" w:styleId="12">
    <w:name w:val="footer"/>
    <w:basedOn w:val="1"/>
    <w:link w:val="48"/>
    <w:unhideWhenUsed/>
    <w:uiPriority w:val="99"/>
    <w:pPr>
      <w:tabs>
        <w:tab w:val="center" w:pos="4153"/>
        <w:tab w:val="right" w:pos="8306"/>
      </w:tabs>
      <w:snapToGrid w:val="0"/>
      <w:spacing w:line="240" w:lineRule="auto"/>
      <w:jc w:val="left"/>
    </w:pPr>
    <w:rPr>
      <w:sz w:val="18"/>
      <w:szCs w:val="18"/>
    </w:rPr>
  </w:style>
  <w:style w:type="paragraph" w:styleId="13">
    <w:name w:val="header"/>
    <w:basedOn w:val="1"/>
    <w:link w:val="47"/>
    <w:unhideWhenUsed/>
    <w:uiPriority w:val="99"/>
    <w:pPr>
      <w:tabs>
        <w:tab w:val="center" w:pos="4153"/>
        <w:tab w:val="right" w:pos="8306"/>
      </w:tabs>
      <w:snapToGrid w:val="0"/>
      <w:spacing w:line="240" w:lineRule="auto"/>
      <w:jc w:val="center"/>
    </w:pPr>
    <w:rPr>
      <w:sz w:val="18"/>
      <w:szCs w:val="18"/>
    </w:rPr>
  </w:style>
  <w:style w:type="paragraph" w:styleId="14">
    <w:name w:val="Subtitle"/>
    <w:basedOn w:val="1"/>
    <w:next w:val="1"/>
    <w:link w:val="30"/>
    <w:qFormat/>
    <w:uiPriority w:val="11"/>
    <w:pPr>
      <w:spacing w:before="240" w:after="60" w:line="312" w:lineRule="auto"/>
      <w:ind w:firstLine="0" w:firstLineChars="0"/>
      <w:jc w:val="center"/>
      <w:outlineLvl w:val="1"/>
    </w:pPr>
    <w:rPr>
      <w:rFonts w:eastAsia="黑体"/>
      <w:kern w:val="28"/>
      <w:sz w:val="36"/>
      <w:szCs w:val="36"/>
    </w:rPr>
  </w:style>
  <w:style w:type="paragraph" w:styleId="15">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paragraph" w:styleId="16">
    <w:name w:val="Title"/>
    <w:basedOn w:val="1"/>
    <w:next w:val="1"/>
    <w:link w:val="29"/>
    <w:qFormat/>
    <w:uiPriority w:val="10"/>
    <w:pPr>
      <w:spacing w:before="240" w:after="60"/>
      <w:ind w:firstLine="0" w:firstLineChars="0"/>
      <w:jc w:val="center"/>
      <w:outlineLvl w:val="0"/>
    </w:pPr>
    <w:rPr>
      <w:rFonts w:ascii="华文中宋" w:hAnsi="华文中宋" w:eastAsia="华文中宋" w:cstheme="majorBidi"/>
      <w:bCs/>
      <w:sz w:val="44"/>
      <w:szCs w:val="32"/>
    </w:rPr>
  </w:style>
  <w:style w:type="character" w:styleId="19">
    <w:name w:val="Emphasis"/>
    <w:basedOn w:val="18"/>
    <w:qFormat/>
    <w:uiPriority w:val="20"/>
    <w:rPr>
      <w:i/>
      <w:iCs/>
    </w:rPr>
  </w:style>
  <w:style w:type="character" w:customStyle="1" w:styleId="20">
    <w:name w:val="标题 1 字符"/>
    <w:basedOn w:val="18"/>
    <w:link w:val="2"/>
    <w:uiPriority w:val="9"/>
    <w:rPr>
      <w:rFonts w:ascii="Times New Roman" w:hAnsi="Times New Roman" w:eastAsia="黑体"/>
      <w:b/>
      <w:bCs/>
      <w:kern w:val="44"/>
      <w:sz w:val="32"/>
      <w:szCs w:val="44"/>
    </w:rPr>
  </w:style>
  <w:style w:type="character" w:customStyle="1" w:styleId="21">
    <w:name w:val="标题 2 字符"/>
    <w:basedOn w:val="18"/>
    <w:link w:val="3"/>
    <w:uiPriority w:val="9"/>
    <w:rPr>
      <w:rFonts w:ascii="Times New Roman" w:hAnsi="Times New Roman" w:eastAsia="楷体"/>
      <w:b/>
      <w:sz w:val="32"/>
    </w:rPr>
  </w:style>
  <w:style w:type="character" w:customStyle="1" w:styleId="22">
    <w:name w:val="标题 3 字符"/>
    <w:basedOn w:val="18"/>
    <w:link w:val="4"/>
    <w:uiPriority w:val="9"/>
    <w:rPr>
      <w:rFonts w:ascii="Times New Roman" w:hAnsi="Times New Roman" w:eastAsia="仿宋"/>
      <w:b/>
      <w:bCs/>
      <w:sz w:val="32"/>
      <w:szCs w:val="32"/>
    </w:rPr>
  </w:style>
  <w:style w:type="character" w:customStyle="1" w:styleId="23">
    <w:name w:val="标题 4 字符"/>
    <w:basedOn w:val="18"/>
    <w:link w:val="5"/>
    <w:semiHidden/>
    <w:uiPriority w:val="9"/>
    <w:rPr>
      <w:rFonts w:ascii="Times New Roman" w:hAnsi="Times New Roman" w:eastAsia="仿宋"/>
      <w:b/>
      <w:sz w:val="32"/>
    </w:rPr>
  </w:style>
  <w:style w:type="character" w:customStyle="1" w:styleId="24">
    <w:name w:val="标题 5 字符"/>
    <w:basedOn w:val="18"/>
    <w:link w:val="6"/>
    <w:semiHidden/>
    <w:uiPriority w:val="9"/>
    <w:rPr>
      <w:rFonts w:ascii="Times New Roman" w:hAnsi="Times New Roman" w:eastAsia="仿宋"/>
      <w:b/>
      <w:bCs/>
      <w:sz w:val="28"/>
      <w:szCs w:val="28"/>
    </w:rPr>
  </w:style>
  <w:style w:type="character" w:customStyle="1" w:styleId="25">
    <w:name w:val="标题 6 字符"/>
    <w:basedOn w:val="18"/>
    <w:link w:val="7"/>
    <w:semiHidden/>
    <w:uiPriority w:val="9"/>
    <w:rPr>
      <w:rFonts w:asciiTheme="majorHAnsi" w:hAnsiTheme="majorHAnsi" w:eastAsiaTheme="majorEastAsia" w:cstheme="majorBidi"/>
      <w:b/>
      <w:bCs/>
      <w:sz w:val="24"/>
      <w:szCs w:val="24"/>
    </w:rPr>
  </w:style>
  <w:style w:type="character" w:customStyle="1" w:styleId="26">
    <w:name w:val="标题 7 字符"/>
    <w:basedOn w:val="18"/>
    <w:link w:val="8"/>
    <w:semiHidden/>
    <w:uiPriority w:val="9"/>
    <w:rPr>
      <w:rFonts w:ascii="Times New Roman" w:hAnsi="Times New Roman" w:eastAsia="仿宋"/>
      <w:b/>
      <w:bCs/>
      <w:sz w:val="24"/>
      <w:szCs w:val="24"/>
    </w:rPr>
  </w:style>
  <w:style w:type="character" w:customStyle="1" w:styleId="27">
    <w:name w:val="标题 8 字符"/>
    <w:basedOn w:val="18"/>
    <w:link w:val="9"/>
    <w:semiHidden/>
    <w:uiPriority w:val="9"/>
    <w:rPr>
      <w:rFonts w:asciiTheme="majorHAnsi" w:hAnsiTheme="majorHAnsi" w:eastAsiaTheme="majorEastAsia" w:cstheme="majorBidi"/>
      <w:sz w:val="24"/>
      <w:szCs w:val="24"/>
    </w:rPr>
  </w:style>
  <w:style w:type="character" w:customStyle="1" w:styleId="28">
    <w:name w:val="标题 9 字符"/>
    <w:basedOn w:val="18"/>
    <w:link w:val="10"/>
    <w:semiHidden/>
    <w:uiPriority w:val="9"/>
    <w:rPr>
      <w:rFonts w:asciiTheme="majorHAnsi" w:hAnsiTheme="majorHAnsi" w:eastAsiaTheme="majorEastAsia" w:cstheme="majorBidi"/>
      <w:szCs w:val="21"/>
    </w:rPr>
  </w:style>
  <w:style w:type="character" w:customStyle="1" w:styleId="29">
    <w:name w:val="标题 字符"/>
    <w:basedOn w:val="18"/>
    <w:link w:val="16"/>
    <w:uiPriority w:val="10"/>
    <w:rPr>
      <w:rFonts w:ascii="华文中宋" w:hAnsi="华文中宋" w:eastAsia="华文中宋" w:cstheme="majorBidi"/>
      <w:bCs/>
      <w:sz w:val="44"/>
      <w:szCs w:val="32"/>
    </w:rPr>
  </w:style>
  <w:style w:type="character" w:customStyle="1" w:styleId="30">
    <w:name w:val="副标题 字符"/>
    <w:basedOn w:val="18"/>
    <w:link w:val="14"/>
    <w:uiPriority w:val="11"/>
    <w:rPr>
      <w:rFonts w:ascii="Times New Roman" w:hAnsi="Times New Roman" w:eastAsia="黑体"/>
      <w:kern w:val="28"/>
      <w:sz w:val="36"/>
      <w:szCs w:val="36"/>
    </w:rPr>
  </w:style>
  <w:style w:type="paragraph" w:styleId="31">
    <w:name w:val="Quote"/>
    <w:basedOn w:val="1"/>
    <w:next w:val="1"/>
    <w:link w:val="32"/>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32">
    <w:name w:val="引用 字符"/>
    <w:basedOn w:val="18"/>
    <w:link w:val="31"/>
    <w:uiPriority w:val="29"/>
    <w:rPr>
      <w:rFonts w:ascii="Times New Roman" w:hAnsi="Times New Roman" w:eastAsia="仿宋"/>
      <w:i/>
      <w:iCs/>
      <w:color w:val="404040" w:themeColor="text1" w:themeTint="BF"/>
      <w:sz w:val="32"/>
      <w14:textFill>
        <w14:solidFill>
          <w14:schemeClr w14:val="tx1">
            <w14:lumMod w14:val="75000"/>
            <w14:lumOff w14:val="25000"/>
          </w14:schemeClr>
        </w14:solidFill>
      </w14:textFill>
    </w:rPr>
  </w:style>
  <w:style w:type="paragraph" w:styleId="33">
    <w:name w:val="List Paragraph"/>
    <w:basedOn w:val="1"/>
    <w:qFormat/>
    <w:uiPriority w:val="34"/>
  </w:style>
  <w:style w:type="character" w:customStyle="1" w:styleId="34">
    <w:name w:val="Intense Emphasis"/>
    <w:basedOn w:val="18"/>
    <w:qFormat/>
    <w:uiPriority w:val="21"/>
    <w:rPr>
      <w:i/>
      <w:iCs/>
      <w:color w:val="156082" w:themeColor="accent1"/>
      <w14:textFill>
        <w14:solidFill>
          <w14:schemeClr w14:val="accent1"/>
        </w14:solidFill>
      </w14:textFill>
    </w:rPr>
  </w:style>
  <w:style w:type="paragraph" w:styleId="35">
    <w:name w:val="Intense Quote"/>
    <w:basedOn w:val="1"/>
    <w:next w:val="1"/>
    <w:link w:val="36"/>
    <w:qFormat/>
    <w:uiPriority w:val="30"/>
    <w:pPr>
      <w:pBdr>
        <w:top w:val="single" w:color="156082" w:themeColor="accent1" w:sz="4" w:space="10"/>
        <w:bottom w:val="single" w:color="156082" w:themeColor="accent1" w:sz="4" w:space="10"/>
      </w:pBdr>
      <w:spacing w:before="360" w:after="360"/>
      <w:ind w:left="864" w:right="864"/>
      <w:jc w:val="center"/>
    </w:pPr>
    <w:rPr>
      <w:i/>
      <w:iCs/>
      <w:color w:val="156082" w:themeColor="accent1"/>
      <w14:textFill>
        <w14:solidFill>
          <w14:schemeClr w14:val="accent1"/>
        </w14:solidFill>
      </w14:textFill>
    </w:rPr>
  </w:style>
  <w:style w:type="character" w:customStyle="1" w:styleId="36">
    <w:name w:val="明显引用 字符"/>
    <w:basedOn w:val="18"/>
    <w:link w:val="35"/>
    <w:uiPriority w:val="30"/>
    <w:rPr>
      <w:rFonts w:ascii="Times New Roman" w:hAnsi="Times New Roman" w:eastAsia="仿宋"/>
      <w:i/>
      <w:iCs/>
      <w:color w:val="156082" w:themeColor="accent1"/>
      <w:sz w:val="32"/>
      <w14:textFill>
        <w14:solidFill>
          <w14:schemeClr w14:val="accent1"/>
        </w14:solidFill>
      </w14:textFill>
    </w:rPr>
  </w:style>
  <w:style w:type="character" w:customStyle="1" w:styleId="37">
    <w:name w:val="Intense Reference"/>
    <w:basedOn w:val="18"/>
    <w:qFormat/>
    <w:uiPriority w:val="32"/>
    <w:rPr>
      <w:b/>
      <w:bCs/>
      <w:smallCaps/>
      <w:color w:val="156082" w:themeColor="accent1"/>
      <w:spacing w:val="5"/>
      <w14:textFill>
        <w14:solidFill>
          <w14:schemeClr w14:val="accent1"/>
        </w14:solidFill>
      </w14:textFill>
    </w:rPr>
  </w:style>
  <w:style w:type="paragraph" w:customStyle="1" w:styleId="38">
    <w:name w:val="图表"/>
    <w:basedOn w:val="1"/>
    <w:link w:val="39"/>
    <w:qFormat/>
    <w:uiPriority w:val="0"/>
    <w:pPr>
      <w:widowControl/>
      <w:spacing w:line="240" w:lineRule="auto"/>
      <w:ind w:firstLine="0" w:firstLineChars="0"/>
      <w:jc w:val="center"/>
    </w:pPr>
    <w:rPr>
      <w:sz w:val="28"/>
    </w:rPr>
  </w:style>
  <w:style w:type="character" w:customStyle="1" w:styleId="39">
    <w:name w:val="图表 字符"/>
    <w:basedOn w:val="18"/>
    <w:link w:val="38"/>
    <w:uiPriority w:val="0"/>
    <w:rPr>
      <w:rFonts w:ascii="Times New Roman" w:hAnsi="Times New Roman" w:eastAsia="仿宋"/>
      <w:sz w:val="28"/>
    </w:rPr>
  </w:style>
  <w:style w:type="paragraph" w:customStyle="1" w:styleId="40">
    <w:name w:val="目录"/>
    <w:basedOn w:val="16"/>
    <w:next w:val="1"/>
    <w:link w:val="41"/>
    <w:qFormat/>
    <w:uiPriority w:val="0"/>
    <w:pPr>
      <w:keepNext/>
      <w:pageBreakBefore/>
      <w:widowControl/>
    </w:pPr>
    <w:rPr>
      <w:color w:val="000000" w:themeColor="text1"/>
      <w14:textFill>
        <w14:solidFill>
          <w14:schemeClr w14:val="tx1"/>
        </w14:solidFill>
      </w14:textFill>
    </w:rPr>
  </w:style>
  <w:style w:type="character" w:customStyle="1" w:styleId="41">
    <w:name w:val="目录 字符"/>
    <w:basedOn w:val="29"/>
    <w:link w:val="40"/>
    <w:uiPriority w:val="0"/>
    <w:rPr>
      <w:rFonts w:ascii="华文中宋" w:hAnsi="华文中宋" w:eastAsia="华文中宋" w:cstheme="majorBidi"/>
      <w:color w:val="000000" w:themeColor="text1"/>
      <w:sz w:val="44"/>
      <w:szCs w:val="32"/>
      <w14:textFill>
        <w14:solidFill>
          <w14:schemeClr w14:val="tx1"/>
        </w14:solidFill>
      </w14:textFill>
    </w:rPr>
  </w:style>
  <w:style w:type="paragraph" w:customStyle="1" w:styleId="42">
    <w:name w:val="落款日期"/>
    <w:basedOn w:val="1"/>
    <w:link w:val="43"/>
    <w:qFormat/>
    <w:uiPriority w:val="0"/>
    <w:pPr>
      <w:ind w:firstLine="0" w:firstLineChars="0"/>
      <w:jc w:val="center"/>
    </w:pPr>
    <w:rPr>
      <w:rFonts w:ascii="黑体" w:hAnsi="黑体" w:eastAsia="黑体"/>
    </w:rPr>
  </w:style>
  <w:style w:type="character" w:customStyle="1" w:styleId="43">
    <w:name w:val="落款日期 字符"/>
    <w:basedOn w:val="18"/>
    <w:link w:val="42"/>
    <w:uiPriority w:val="0"/>
    <w:rPr>
      <w:rFonts w:ascii="黑体" w:hAnsi="黑体" w:eastAsia="黑体"/>
      <w:sz w:val="32"/>
    </w:rPr>
  </w:style>
  <w:style w:type="paragraph" w:styleId="44">
    <w:name w:val="No Spacing"/>
    <w:qFormat/>
    <w:uiPriority w:val="1"/>
    <w:pPr>
      <w:widowControl w:val="0"/>
      <w:ind w:firstLine="640" w:firstLineChars="200"/>
      <w:jc w:val="both"/>
    </w:pPr>
    <w:rPr>
      <w:rFonts w:ascii="Times New Roman" w:hAnsi="Times New Roman" w:eastAsia="仿宋" w:cstheme="minorBidi"/>
      <w:kern w:val="2"/>
      <w:sz w:val="32"/>
      <w:szCs w:val="22"/>
      <w:lang w:val="en-US" w:eastAsia="zh-CN" w:bidi="ar-SA"/>
    </w:rPr>
  </w:style>
  <w:style w:type="character" w:customStyle="1" w:styleId="45">
    <w:name w:val="Book Title"/>
    <w:qFormat/>
    <w:uiPriority w:val="33"/>
  </w:style>
  <w:style w:type="paragraph" w:customStyle="1" w:styleId="46">
    <w:name w:val="TOC Heading"/>
    <w:basedOn w:val="2"/>
    <w:next w:val="1"/>
    <w:semiHidden/>
    <w:unhideWhenUsed/>
    <w:qFormat/>
    <w:uiPriority w:val="39"/>
    <w:pPr>
      <w:widowControl/>
      <w:spacing w:before="240" w:beforeLines="0" w:line="259" w:lineRule="auto"/>
      <w:ind w:firstLine="0" w:firstLineChars="0"/>
      <w:jc w:val="left"/>
      <w:outlineLvl w:val="9"/>
    </w:pPr>
    <w:rPr>
      <w:rFonts w:asciiTheme="majorHAnsi" w:hAnsiTheme="majorHAnsi" w:eastAsiaTheme="majorEastAsia" w:cstheme="majorBidi"/>
      <w:b w:val="0"/>
      <w:bCs w:val="0"/>
      <w:color w:val="104862" w:themeColor="accent1" w:themeShade="BF"/>
      <w:kern w:val="0"/>
      <w:szCs w:val="32"/>
    </w:rPr>
  </w:style>
  <w:style w:type="character" w:customStyle="1" w:styleId="47">
    <w:name w:val="页眉 字符"/>
    <w:basedOn w:val="18"/>
    <w:link w:val="13"/>
    <w:uiPriority w:val="99"/>
    <w:rPr>
      <w:rFonts w:ascii="Times New Roman" w:hAnsi="Times New Roman" w:eastAsia="仿宋"/>
      <w:sz w:val="18"/>
      <w:szCs w:val="18"/>
    </w:rPr>
  </w:style>
  <w:style w:type="character" w:customStyle="1" w:styleId="48">
    <w:name w:val="页脚 字符"/>
    <w:basedOn w:val="18"/>
    <w:link w:val="12"/>
    <w:uiPriority w:val="99"/>
    <w:rPr>
      <w:rFonts w:ascii="Times New Roman" w:hAnsi="Times New Roman" w:eastAsia="仿宋"/>
      <w:sz w:val="18"/>
      <w:szCs w:val="18"/>
    </w:rPr>
  </w:style>
  <w:style w:type="paragraph" w:customStyle="1" w:styleId="49">
    <w:name w:val="Revision"/>
    <w:hidden/>
    <w:semiHidden/>
    <w:uiPriority w:val="99"/>
    <w:rPr>
      <w:rFonts w:ascii="Times New Roman" w:hAnsi="Times New Roman" w:eastAsia="仿宋" w:cstheme="minorBidi"/>
      <w:kern w:val="2"/>
      <w:sz w:val="3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Normal.dotm</Template>
  <Pages>15</Pages>
  <Words>986</Words>
  <Characters>5623</Characters>
  <Lines>46</Lines>
  <Paragraphs>13</Paragraphs>
  <TotalTime>1054</TotalTime>
  <ScaleCrop>false</ScaleCrop>
  <LinksUpToDate>false</LinksUpToDate>
  <CharactersWithSpaces>6596</CharactersWithSpaces>
  <Application>WPS Office_12.1.2.25882_F1E327BC-269C-435d-A152-05C5408002CA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2026-04-16T02:28:00Z</dcterms:created>
  <dc:creator>Shaochong Feng</dc:creator>
  <cp:lastModifiedBy>admin</cp:lastModifiedBy>
  <dcterms:modified xsi:type="dcterms:W3CDTF">2026-07-23T15:30:03Z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2052-12.1.2.25882</vt:lpwstr>
  </property>
  <property fmtid="{D5CDD505-2E9C-101B-9397-08002B2CF9AE}" pid="3" name="ICV">
    <vt:lpwstr>857F918F643D3FAD49C2616A4A86EE3E_42</vt:lpwstr>
  </property>
</Properties>
</file>