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87A6A">
      <w:pPr>
        <w:pStyle w:val="10"/>
        <w:jc w:val="center"/>
        <w:outlineLvl w:val="1"/>
        <w:rPr>
          <w:rFonts w:hint="eastAsia" w:ascii="仿宋_GB2312" w:hAnsi="仿宋_GB2312" w:eastAsia="仿宋_GB2312" w:cs="仿宋_GB2312"/>
          <w:b/>
          <w:sz w:val="36"/>
          <w:lang w:eastAsia="zh-CN"/>
        </w:rPr>
      </w:pPr>
      <w:r>
        <w:rPr>
          <w:rFonts w:ascii="仿宋_GB2312" w:hAnsi="仿宋_GB2312" w:eastAsia="仿宋_GB2312" w:cs="仿宋_GB2312"/>
          <w:b/>
          <w:sz w:val="36"/>
        </w:rPr>
        <w:t xml:space="preserve"> </w:t>
      </w:r>
      <w:r>
        <w:rPr>
          <w:rFonts w:hint="eastAsia" w:ascii="仿宋_GB2312" w:hAnsi="仿宋_GB2312" w:eastAsia="仿宋_GB2312" w:cs="仿宋_GB2312"/>
          <w:b/>
          <w:sz w:val="36"/>
        </w:rPr>
        <w:t>基于AI的无线电智能执法辅助系统（一期）</w:t>
      </w:r>
      <w:r>
        <w:rPr>
          <w:rFonts w:hint="eastAsia" w:ascii="仿宋_GB2312" w:hAnsi="仿宋_GB2312" w:eastAsia="仿宋_GB2312" w:cs="仿宋_GB2312"/>
          <w:b/>
          <w:sz w:val="36"/>
          <w:lang w:eastAsia="zh-CN"/>
        </w:rPr>
        <w:t>（二次）</w:t>
      </w:r>
    </w:p>
    <w:p w14:paraId="6B576D9A">
      <w:pPr>
        <w:pStyle w:val="10"/>
        <w:jc w:val="center"/>
        <w:outlineLvl w:val="1"/>
        <w:rPr>
          <w:rFonts w:hint="default"/>
        </w:rPr>
      </w:pPr>
      <w:r>
        <w:rPr>
          <w:rFonts w:hint="eastAsia" w:ascii="仿宋_GB2312" w:hAnsi="仿宋_GB2312" w:eastAsia="仿宋_GB2312" w:cs="仿宋_GB2312"/>
          <w:b/>
          <w:sz w:val="36"/>
          <w:lang w:eastAsia="zh-CN"/>
        </w:rPr>
        <w:t>采购</w:t>
      </w:r>
      <w:r>
        <w:rPr>
          <w:rFonts w:ascii="仿宋_GB2312" w:hAnsi="仿宋_GB2312" w:eastAsia="仿宋_GB2312" w:cs="仿宋_GB2312"/>
          <w:b/>
          <w:sz w:val="36"/>
        </w:rPr>
        <w:t>内容及要求</w:t>
      </w:r>
    </w:p>
    <w:p w14:paraId="1414A0DD">
      <w:pPr>
        <w:pStyle w:val="10"/>
        <w:jc w:val="both"/>
        <w:outlineLvl w:val="2"/>
        <w:rPr>
          <w:rFonts w:hint="eastAsia" w:ascii="国标黑体" w:hAnsi="国标黑体" w:eastAsia="国标黑体" w:cs="国标黑体"/>
          <w:b w:val="0"/>
          <w:bCs/>
          <w:lang w:eastAsia="zh-CN"/>
        </w:rPr>
      </w:pPr>
      <w:r>
        <w:rPr>
          <w:rFonts w:hint="eastAsia" w:ascii="国标黑体" w:hAnsi="国标黑体" w:eastAsia="国标黑体" w:cs="国标黑体"/>
          <w:b w:val="0"/>
          <w:bCs/>
          <w:sz w:val="28"/>
        </w:rPr>
        <w:t>一、</w:t>
      </w:r>
      <w:r>
        <w:rPr>
          <w:rFonts w:hint="eastAsia" w:ascii="国标黑体" w:hAnsi="国标黑体" w:eastAsia="国标黑体" w:cs="国标黑体"/>
          <w:b w:val="0"/>
          <w:bCs/>
          <w:sz w:val="28"/>
          <w:lang w:eastAsia="zh-CN"/>
        </w:rPr>
        <w:t>总体要求</w:t>
      </w:r>
    </w:p>
    <w:p w14:paraId="2BBFCC32">
      <w:pPr>
        <w:pStyle w:val="10"/>
        <w:ind w:firstLine="480"/>
        <w:jc w:val="both"/>
        <w:rPr>
          <w:rFonts w:ascii="仿宋_GB2312" w:hAnsi="仿宋_GB2312" w:eastAsia="仿宋_GB2312" w:cs="仿宋_GB2312"/>
          <w:b/>
          <w:sz w:val="21"/>
          <w:highlight w:val="none"/>
        </w:rPr>
      </w:pPr>
      <w:r>
        <w:rPr>
          <w:rFonts w:ascii="仿宋_GB2312" w:hAnsi="仿宋_GB2312" w:eastAsia="仿宋_GB2312" w:cs="仿宋_GB2312"/>
          <w:b/>
          <w:sz w:val="21"/>
          <w:highlight w:val="none"/>
        </w:rPr>
        <w:t>（一）</w:t>
      </w:r>
      <w:r>
        <w:rPr>
          <w:rFonts w:hint="eastAsia" w:ascii="仿宋_GB2312" w:hAnsi="仿宋_GB2312" w:eastAsia="仿宋_GB2312" w:cs="仿宋_GB2312"/>
          <w:b/>
          <w:sz w:val="21"/>
          <w:highlight w:val="none"/>
          <w:lang w:eastAsia="zh-CN"/>
        </w:rPr>
        <w:t>项目名称：</w:t>
      </w:r>
      <w:r>
        <w:rPr>
          <w:rFonts w:ascii="仿宋_GB2312" w:hAnsi="仿宋_GB2312" w:eastAsia="仿宋_GB2312" w:cs="仿宋_GB2312"/>
          <w:sz w:val="21"/>
        </w:rPr>
        <w:t>基于AI的无线电智能执法辅助系统（一期）</w:t>
      </w:r>
    </w:p>
    <w:p w14:paraId="7D846413">
      <w:pPr>
        <w:pStyle w:val="10"/>
        <w:ind w:firstLine="480"/>
        <w:jc w:val="both"/>
        <w:rPr>
          <w:rFonts w:hint="eastAsia" w:ascii="仿宋_GB2312" w:hAnsi="仿宋_GB2312" w:eastAsia="仿宋_GB2312" w:cs="仿宋_GB2312"/>
          <w:b/>
          <w:sz w:val="21"/>
          <w:highlight w:val="none"/>
          <w:lang w:eastAsia="zh-CN"/>
        </w:rPr>
      </w:pPr>
      <w:r>
        <w:rPr>
          <w:rFonts w:ascii="仿宋_GB2312" w:hAnsi="仿宋_GB2312" w:eastAsia="仿宋_GB2312" w:cs="仿宋_GB2312"/>
          <w:b/>
          <w:sz w:val="21"/>
          <w:highlight w:val="none"/>
        </w:rPr>
        <w:t>（</w:t>
      </w:r>
      <w:r>
        <w:rPr>
          <w:rFonts w:hint="eastAsia" w:ascii="仿宋_GB2312" w:hAnsi="仿宋_GB2312" w:eastAsia="仿宋_GB2312" w:cs="仿宋_GB2312"/>
          <w:b/>
          <w:sz w:val="21"/>
          <w:highlight w:val="none"/>
          <w:lang w:eastAsia="zh-CN"/>
        </w:rPr>
        <w:t>二</w:t>
      </w:r>
      <w:r>
        <w:rPr>
          <w:rFonts w:ascii="仿宋_GB2312" w:hAnsi="仿宋_GB2312" w:eastAsia="仿宋_GB2312" w:cs="仿宋_GB2312"/>
          <w:b/>
          <w:sz w:val="21"/>
          <w:highlight w:val="none"/>
        </w:rPr>
        <w:t>）</w:t>
      </w:r>
      <w:r>
        <w:rPr>
          <w:rFonts w:hint="eastAsia" w:ascii="仿宋_GB2312" w:hAnsi="仿宋_GB2312" w:eastAsia="仿宋_GB2312" w:cs="仿宋_GB2312"/>
          <w:b/>
          <w:sz w:val="21"/>
          <w:highlight w:val="none"/>
          <w:lang w:eastAsia="zh-CN"/>
        </w:rPr>
        <w:t>总体要求：</w:t>
      </w:r>
    </w:p>
    <w:p w14:paraId="766BF1C2">
      <w:pPr>
        <w:pStyle w:val="10"/>
        <w:ind w:firstLine="480"/>
        <w:jc w:val="both"/>
        <w:rPr>
          <w:rFonts w:hint="default"/>
        </w:rPr>
      </w:pPr>
      <w:r>
        <w:rPr>
          <w:rFonts w:ascii="仿宋_GB2312" w:hAnsi="仿宋_GB2312" w:eastAsia="仿宋_GB2312" w:cs="仿宋_GB2312"/>
          <w:sz w:val="21"/>
        </w:rPr>
        <w:t>1</w:t>
      </w:r>
      <w:r>
        <w:rPr>
          <w:rFonts w:hint="eastAsia" w:ascii="仿宋_GB2312" w:hAnsi="仿宋_GB2312" w:eastAsia="仿宋_GB2312" w:cs="仿宋_GB2312"/>
          <w:sz w:val="21"/>
          <w:lang w:val="en-US" w:eastAsia="zh-CN"/>
        </w:rPr>
        <w:t>.</w:t>
      </w:r>
      <w:r>
        <w:rPr>
          <w:rFonts w:ascii="仿宋_GB2312" w:hAnsi="仿宋_GB2312" w:eastAsia="仿宋_GB2312" w:cs="仿宋_GB2312"/>
          <w:sz w:val="21"/>
        </w:rPr>
        <w:t>本项目应基于现有</w:t>
      </w:r>
      <w:r>
        <w:rPr>
          <w:rFonts w:hint="eastAsia" w:ascii="仿宋_GB2312" w:hAnsi="仿宋_GB2312" w:eastAsia="仿宋_GB2312" w:cs="仿宋_GB2312"/>
          <w:sz w:val="21"/>
          <w:lang w:eastAsia="zh-CN"/>
        </w:rPr>
        <w:t>福建省无线电管理</w:t>
      </w:r>
      <w:r>
        <w:rPr>
          <w:rFonts w:ascii="仿宋_GB2312" w:hAnsi="仿宋_GB2312" w:eastAsia="仿宋_GB2312" w:cs="仿宋_GB2312"/>
          <w:sz w:val="21"/>
        </w:rPr>
        <w:t>一体化基础平台建设，符合一体化平台建设规范以及相关技术要求。本项目建设以夯实算力底座与实现法律法规结构化解析为核心任务，以经审核的核心法规、行政处罚裁量基准和典型案例为知识基础，围绕“知识入库、案情录入、裁量分析、类案参考、法规问答”形成完整的业务闭环。系统不替代执法人员履行法定职责，所有AI输出均作为辅助参考，并保留来源依据</w:t>
      </w:r>
      <w:r>
        <w:rPr>
          <w:rFonts w:ascii="仿宋_GB2312" w:hAnsi="仿宋_GB2312" w:eastAsia="仿宋_GB2312" w:cs="仿宋_GB2312"/>
          <w:sz w:val="21"/>
          <w:lang w:eastAsia="zh-CN"/>
        </w:rPr>
        <w:t>，</w:t>
      </w:r>
      <w:r>
        <w:rPr>
          <w:rFonts w:ascii="仿宋_GB2312" w:hAnsi="仿宋_GB2312" w:eastAsia="仿宋_GB2312" w:cs="仿宋_GB2312"/>
          <w:sz w:val="21"/>
        </w:rPr>
        <w:t>以解决当前法规支撑碎片化的痛点，全面提升无线电执法裁量工作的规范性与效率。</w:t>
      </w:r>
    </w:p>
    <w:p w14:paraId="26269783">
      <w:pPr>
        <w:pStyle w:val="10"/>
        <w:ind w:firstLine="420"/>
        <w:jc w:val="both"/>
        <w:rPr>
          <w:rFonts w:hint="default"/>
          <w:highlight w:val="none"/>
        </w:rPr>
      </w:pPr>
      <w:r>
        <w:rPr>
          <w:rFonts w:ascii="仿宋_GB2312" w:hAnsi="仿宋_GB2312" w:eastAsia="仿宋_GB2312" w:cs="仿宋_GB2312"/>
          <w:sz w:val="21"/>
        </w:rPr>
        <w:t>2、本项目主要包含基于AI的无线电智能执</w:t>
      </w:r>
      <w:r>
        <w:rPr>
          <w:rFonts w:ascii="仿宋_GB2312" w:hAnsi="仿宋_GB2312" w:eastAsia="仿宋_GB2312" w:cs="仿宋_GB2312"/>
          <w:sz w:val="21"/>
          <w:highlight w:val="none"/>
        </w:rPr>
        <w:t>法辅助软件系统</w:t>
      </w:r>
      <w:r>
        <w:rPr>
          <w:rFonts w:ascii="仿宋_GB2312" w:hAnsi="仿宋_GB2312" w:eastAsia="仿宋_GB2312" w:cs="仿宋_GB2312"/>
          <w:sz w:val="21"/>
          <w:highlight w:val="none"/>
          <w:lang w:eastAsia="zh-CN"/>
        </w:rPr>
        <w:t>、</w:t>
      </w:r>
      <w:r>
        <w:rPr>
          <w:rFonts w:ascii="仿宋_GB2312" w:hAnsi="仿宋_GB2312" w:eastAsia="仿宋_GB2312" w:cs="仿宋_GB2312"/>
          <w:sz w:val="21"/>
          <w:highlight w:val="none"/>
        </w:rPr>
        <w:t>应用服务器及操作系统</w:t>
      </w:r>
      <w:r>
        <w:rPr>
          <w:rFonts w:ascii="仿宋_GB2312" w:hAnsi="仿宋_GB2312" w:eastAsia="仿宋_GB2312" w:cs="仿宋_GB2312"/>
          <w:sz w:val="21"/>
          <w:highlight w:val="none"/>
          <w:lang w:eastAsia="zh-CN"/>
        </w:rPr>
        <w:t>、</w:t>
      </w:r>
      <w:r>
        <w:rPr>
          <w:rFonts w:ascii="仿宋_GB2312" w:hAnsi="仿宋_GB2312" w:eastAsia="仿宋_GB2312" w:cs="仿宋_GB2312"/>
          <w:sz w:val="21"/>
          <w:highlight w:val="none"/>
        </w:rPr>
        <w:t>数据服务器及操作系统</w:t>
      </w:r>
      <w:r>
        <w:rPr>
          <w:rFonts w:ascii="仿宋_GB2312" w:hAnsi="仿宋_GB2312" w:eastAsia="仿宋_GB2312" w:cs="仿宋_GB2312"/>
          <w:sz w:val="21"/>
          <w:highlight w:val="none"/>
          <w:lang w:eastAsia="zh-CN"/>
        </w:rPr>
        <w:t>、</w:t>
      </w:r>
      <w:r>
        <w:rPr>
          <w:rFonts w:ascii="仿宋_GB2312" w:hAnsi="仿宋_GB2312" w:eastAsia="仿宋_GB2312" w:cs="仿宋_GB2312"/>
          <w:sz w:val="21"/>
          <w:highlight w:val="none"/>
        </w:rPr>
        <w:t>算力服务器及操作系统</w:t>
      </w:r>
      <w:r>
        <w:rPr>
          <w:rFonts w:ascii="仿宋_GB2312" w:hAnsi="仿宋_GB2312" w:eastAsia="仿宋_GB2312" w:cs="仿宋_GB2312"/>
          <w:sz w:val="21"/>
          <w:highlight w:val="none"/>
          <w:lang w:eastAsia="zh-CN"/>
        </w:rPr>
        <w:t>、</w:t>
      </w:r>
      <w:r>
        <w:rPr>
          <w:rFonts w:ascii="仿宋_GB2312" w:hAnsi="仿宋_GB2312" w:eastAsia="仿宋_GB2312" w:cs="仿宋_GB2312"/>
          <w:sz w:val="21"/>
          <w:highlight w:val="none"/>
        </w:rPr>
        <w:t>数据库软件</w:t>
      </w:r>
      <w:r>
        <w:rPr>
          <w:rFonts w:hint="eastAsia" w:ascii="仿宋_GB2312" w:hAnsi="仿宋_GB2312" w:eastAsia="仿宋_GB2312" w:cs="仿宋_GB2312"/>
          <w:sz w:val="21"/>
          <w:highlight w:val="none"/>
          <w:lang w:eastAsia="zh-CN"/>
        </w:rPr>
        <w:t>以及项目实施需要的有关软硬件和</w:t>
      </w:r>
      <w:bookmarkStart w:id="0" w:name="_GoBack"/>
      <w:bookmarkEnd w:id="0"/>
      <w:r>
        <w:rPr>
          <w:rFonts w:hint="eastAsia" w:ascii="仿宋_GB2312" w:hAnsi="仿宋_GB2312" w:eastAsia="仿宋_GB2312" w:cs="仿宋_GB2312"/>
          <w:sz w:val="21"/>
          <w:highlight w:val="none"/>
          <w:lang w:eastAsia="zh-CN"/>
        </w:rPr>
        <w:t>辅件</w:t>
      </w:r>
      <w:r>
        <w:rPr>
          <w:rFonts w:ascii="仿宋_GB2312" w:hAnsi="仿宋_GB2312" w:eastAsia="仿宋_GB2312" w:cs="仿宋_GB2312"/>
          <w:sz w:val="21"/>
          <w:highlight w:val="none"/>
          <w:lang w:eastAsia="zh-CN"/>
        </w:rPr>
        <w:t>等配置</w:t>
      </w:r>
      <w:r>
        <w:rPr>
          <w:rFonts w:ascii="仿宋_GB2312" w:hAnsi="仿宋_GB2312" w:eastAsia="仿宋_GB2312" w:cs="仿宋_GB2312"/>
          <w:sz w:val="21"/>
          <w:highlight w:val="none"/>
        </w:rPr>
        <w:t>。</w:t>
      </w:r>
    </w:p>
    <w:p w14:paraId="62E80C26">
      <w:pPr>
        <w:pStyle w:val="10"/>
        <w:jc w:val="both"/>
        <w:outlineLvl w:val="2"/>
        <w:rPr>
          <w:rFonts w:hint="default" w:ascii="国标黑体" w:hAnsi="国标黑体" w:eastAsia="国标黑体" w:cs="国标黑体"/>
          <w:b w:val="0"/>
          <w:bCs/>
          <w:sz w:val="28"/>
        </w:rPr>
      </w:pPr>
      <w:r>
        <w:rPr>
          <w:rFonts w:hint="eastAsia" w:ascii="国标黑体" w:hAnsi="国标黑体" w:eastAsia="国标黑体" w:cs="国标黑体"/>
          <w:b w:val="0"/>
          <w:bCs/>
          <w:sz w:val="28"/>
        </w:rPr>
        <w:t>二、技术和服务要求</w:t>
      </w:r>
    </w:p>
    <w:p w14:paraId="7B26F7AD">
      <w:pPr>
        <w:pStyle w:val="10"/>
        <w:ind w:firstLine="422" w:firstLineChars="200"/>
        <w:jc w:val="both"/>
        <w:rPr>
          <w:rFonts w:ascii="仿宋_GB2312" w:hAnsi="仿宋_GB2312" w:eastAsia="仿宋_GB2312" w:cs="仿宋_GB2312"/>
          <w:b/>
          <w:sz w:val="21"/>
          <w:highlight w:val="none"/>
        </w:rPr>
      </w:pPr>
      <w:r>
        <w:rPr>
          <w:rFonts w:ascii="仿宋_GB2312" w:hAnsi="仿宋_GB2312" w:eastAsia="仿宋_GB2312" w:cs="仿宋_GB2312"/>
          <w:b/>
          <w:sz w:val="21"/>
          <w:highlight w:val="none"/>
        </w:rPr>
        <w:t>（一）功能描述</w:t>
      </w:r>
    </w:p>
    <w:p w14:paraId="20F89AF1">
      <w:pPr>
        <w:pStyle w:val="10"/>
        <w:ind w:firstLine="420"/>
        <w:jc w:val="both"/>
        <w:rPr>
          <w:rFonts w:ascii="仿宋_GB2312" w:hAnsi="仿宋_GB2312" w:eastAsia="仿宋_GB2312" w:cs="仿宋_GB2312"/>
          <w:b/>
          <w:bCs/>
          <w:highlight w:val="none"/>
        </w:rPr>
      </w:pPr>
      <w:r>
        <w:rPr>
          <w:rFonts w:ascii="仿宋_GB2312" w:hAnsi="仿宋_GB2312" w:eastAsia="仿宋_GB2312" w:cs="仿宋_GB2312"/>
          <w:highlight w:val="none"/>
        </w:rPr>
        <w:t>1.构建国产化算力底座</w:t>
      </w:r>
    </w:p>
    <w:p w14:paraId="7C5CC306">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为满足大模型推理与知识图谱运算的高性能需求，本项目将采购并部署适配国产化环境的AI服务器及高性能存储设备。该算力底座将为知识图谱的自动抽取、结构化解析以及智能裁量辅助引擎提供稳定、高效的底层支撑，确保系统在自主可控的前提下实现高并发、低延迟的智能化服务。</w:t>
      </w:r>
    </w:p>
    <w:p w14:paraId="0DB2B538">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ascii="仿宋_GB2312" w:hAnsi="仿宋_GB2312" w:eastAsia="仿宋_GB2312" w:cs="仿宋_GB2312"/>
          <w:sz w:val="21"/>
        </w:rPr>
        <w:t>核心法规知识库</w:t>
      </w:r>
    </w:p>
    <w:p w14:paraId="1BDED886">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法律法规结构化解析：</w:t>
      </w:r>
      <w:r>
        <w:rPr>
          <w:rFonts w:ascii="仿宋_GB2312" w:hAnsi="仿宋_GB2312" w:eastAsia="仿宋_GB2312" w:cs="仿宋_GB2312"/>
          <w:sz w:val="21"/>
        </w:rPr>
        <w:t>支持导入确认的PDF、Word等格式</w:t>
      </w:r>
      <w:r>
        <w:rPr>
          <w:rFonts w:ascii="仿宋_GB2312" w:hAnsi="仿宋_GB2312" w:eastAsia="仿宋_GB2312" w:cs="仿宋_GB2312"/>
          <w:sz w:val="21"/>
          <w:lang w:eastAsia="zh-CN"/>
        </w:rPr>
        <w:t>法律</w:t>
      </w:r>
      <w:r>
        <w:rPr>
          <w:rFonts w:ascii="仿宋_GB2312" w:hAnsi="仿宋_GB2312" w:eastAsia="仿宋_GB2312" w:cs="仿宋_GB2312"/>
          <w:sz w:val="21"/>
        </w:rPr>
        <w:t>法规文件，并维护</w:t>
      </w:r>
      <w:r>
        <w:rPr>
          <w:rFonts w:ascii="仿宋_GB2312" w:hAnsi="仿宋_GB2312" w:eastAsia="仿宋_GB2312" w:cs="仿宋_GB2312"/>
          <w:sz w:val="21"/>
          <w:lang w:eastAsia="zh-CN"/>
        </w:rPr>
        <w:t>法律</w:t>
      </w:r>
      <w:r>
        <w:rPr>
          <w:rFonts w:ascii="仿宋_GB2312" w:hAnsi="仿宋_GB2312" w:eastAsia="仿宋_GB2312" w:cs="仿宋_GB2312"/>
          <w:sz w:val="21"/>
        </w:rPr>
        <w:t>法规名称、文号、发布机关、发布日期和有效状态等信息。系统对</w:t>
      </w:r>
      <w:r>
        <w:rPr>
          <w:rFonts w:ascii="仿宋_GB2312" w:hAnsi="仿宋_GB2312" w:eastAsia="仿宋_GB2312" w:cs="仿宋_GB2312"/>
          <w:sz w:val="21"/>
          <w:lang w:eastAsia="zh-CN"/>
        </w:rPr>
        <w:t>具体法律</w:t>
      </w:r>
      <w:r>
        <w:rPr>
          <w:rFonts w:ascii="仿宋_GB2312" w:hAnsi="仿宋_GB2312" w:eastAsia="仿宋_GB2312" w:cs="仿宋_GB2312"/>
          <w:sz w:val="21"/>
        </w:rPr>
        <w:t>法规</w:t>
      </w:r>
      <w:r>
        <w:rPr>
          <w:rFonts w:ascii="仿宋_GB2312" w:hAnsi="仿宋_GB2312" w:eastAsia="仿宋_GB2312" w:cs="仿宋_GB2312"/>
          <w:sz w:val="21"/>
          <w:lang w:eastAsia="zh-CN"/>
        </w:rPr>
        <w:t>的构成要件进行拆分梳理</w:t>
      </w:r>
      <w:r>
        <w:rPr>
          <w:rFonts w:ascii="仿宋_GB2312" w:hAnsi="仿宋_GB2312" w:eastAsia="仿宋_GB2312" w:cs="仿宋_GB2312"/>
          <w:sz w:val="21"/>
        </w:rPr>
        <w:t>，解析结果经管理员确认发布后，形成可供查询和分析的结构化</w:t>
      </w:r>
      <w:r>
        <w:rPr>
          <w:rFonts w:ascii="仿宋_GB2312" w:hAnsi="仿宋_GB2312" w:eastAsia="仿宋_GB2312" w:cs="仿宋_GB2312"/>
          <w:sz w:val="21"/>
          <w:lang w:eastAsia="zh-CN"/>
        </w:rPr>
        <w:t>法律</w:t>
      </w:r>
      <w:r>
        <w:rPr>
          <w:rFonts w:ascii="仿宋_GB2312" w:hAnsi="仿宋_GB2312" w:eastAsia="仿宋_GB2312" w:cs="仿宋_GB2312"/>
          <w:sz w:val="21"/>
        </w:rPr>
        <w:t>法规</w:t>
      </w:r>
      <w:r>
        <w:rPr>
          <w:rFonts w:ascii="仿宋_GB2312" w:hAnsi="仿宋_GB2312" w:eastAsia="仿宋_GB2312" w:cs="仿宋_GB2312"/>
          <w:sz w:val="21"/>
          <w:lang w:eastAsia="zh-CN"/>
        </w:rPr>
        <w:t>数据库</w:t>
      </w:r>
      <w:r>
        <w:rPr>
          <w:rFonts w:ascii="仿宋_GB2312" w:hAnsi="仿宋_GB2312" w:eastAsia="仿宋_GB2312" w:cs="仿宋_GB2312"/>
          <w:sz w:val="21"/>
        </w:rPr>
        <w:t>。</w:t>
      </w:r>
    </w:p>
    <w:p w14:paraId="4F25427A">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b/>
          <w:bCs/>
          <w:sz w:val="21"/>
        </w:rPr>
        <w:t>法律法规查询与页面展示：</w:t>
      </w:r>
      <w:r>
        <w:rPr>
          <w:rFonts w:ascii="仿宋_GB2312" w:hAnsi="仿宋_GB2312" w:eastAsia="仿宋_GB2312" w:cs="仿宋_GB2312"/>
          <w:sz w:val="21"/>
        </w:rPr>
        <w:t>系统支持按</w:t>
      </w:r>
      <w:r>
        <w:rPr>
          <w:rFonts w:ascii="仿宋_GB2312" w:hAnsi="仿宋_GB2312" w:eastAsia="仿宋_GB2312" w:cs="仿宋_GB2312"/>
          <w:sz w:val="21"/>
          <w:lang w:eastAsia="zh-CN"/>
        </w:rPr>
        <w:t>法律</w:t>
      </w:r>
      <w:r>
        <w:rPr>
          <w:rFonts w:ascii="仿宋_GB2312" w:hAnsi="仿宋_GB2312" w:eastAsia="仿宋_GB2312" w:cs="仿宋_GB2312"/>
          <w:sz w:val="21"/>
        </w:rPr>
        <w:t>法规名称、违法行为和关键词等条件进行查询，展示</w:t>
      </w:r>
      <w:r>
        <w:rPr>
          <w:rFonts w:ascii="仿宋_GB2312" w:hAnsi="仿宋_GB2312" w:eastAsia="仿宋_GB2312" w:cs="仿宋_GB2312"/>
          <w:sz w:val="21"/>
          <w:lang w:eastAsia="zh-CN"/>
        </w:rPr>
        <w:t>法律</w:t>
      </w:r>
      <w:r>
        <w:rPr>
          <w:rFonts w:ascii="仿宋_GB2312" w:hAnsi="仿宋_GB2312" w:eastAsia="仿宋_GB2312" w:cs="仿宋_GB2312"/>
          <w:sz w:val="21"/>
        </w:rPr>
        <w:t>法规版本状态、条款原文、来源文件等信息。执法人员可从裁量分析</w:t>
      </w:r>
      <w:r>
        <w:rPr>
          <w:rFonts w:ascii="仿宋_GB2312" w:hAnsi="仿宋_GB2312" w:eastAsia="仿宋_GB2312" w:cs="仿宋_GB2312"/>
          <w:sz w:val="21"/>
          <w:lang w:eastAsia="zh-CN"/>
        </w:rPr>
        <w:t>或</w:t>
      </w:r>
      <w:r>
        <w:rPr>
          <w:rFonts w:ascii="仿宋_GB2312" w:hAnsi="仿宋_GB2312" w:eastAsia="仿宋_GB2312" w:cs="仿宋_GB2312"/>
          <w:sz w:val="21"/>
        </w:rPr>
        <w:t>问答结果跳转查看完整条款及来源依据</w:t>
      </w:r>
      <w:r>
        <w:rPr>
          <w:rFonts w:ascii="仿宋_GB2312" w:hAnsi="仿宋_GB2312" w:eastAsia="仿宋_GB2312" w:cs="仿宋_GB2312"/>
          <w:sz w:val="21"/>
          <w:lang w:eastAsia="zh-CN"/>
        </w:rPr>
        <w:t>。</w:t>
      </w:r>
    </w:p>
    <w:p w14:paraId="63742C31">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sz w:val="21"/>
          <w:lang w:eastAsia="zh-CN"/>
        </w:rPr>
        <w:t>3.典型案例库</w:t>
      </w:r>
    </w:p>
    <w:p w14:paraId="7AD046E3">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案例数据输入与结构化加工：</w:t>
      </w:r>
      <w:r>
        <w:rPr>
          <w:rFonts w:ascii="仿宋_GB2312" w:hAnsi="仿宋_GB2312" w:eastAsia="仿宋_GB2312" w:cs="仿宋_GB2312"/>
          <w:sz w:val="21"/>
        </w:rPr>
        <w:t>支持按统一模板导入经脱敏、审核确认的无线电行政执法案例。</w:t>
      </w:r>
      <w:r>
        <w:rPr>
          <w:rFonts w:hint="eastAsia" w:ascii="仿宋_GB2312" w:hAnsi="仿宋_GB2312" w:eastAsia="仿宋_GB2312" w:cs="仿宋_GB2312"/>
          <w:b w:val="0"/>
          <w:bCs w:val="0"/>
          <w:sz w:val="21"/>
          <w:lang w:val="en-US" w:eastAsia="zh-CN"/>
        </w:rPr>
        <w:t>案例数据不少于80个，</w:t>
      </w:r>
      <w:r>
        <w:rPr>
          <w:rFonts w:ascii="仿宋_GB2312" w:hAnsi="仿宋_GB2312" w:eastAsia="仿宋_GB2312" w:cs="仿宋_GB2312"/>
          <w:sz w:val="21"/>
        </w:rPr>
        <w:t>包括案例名称、来源、地区、案件基本事实、违法行为、违法情节、办案要点等内容，并按</w:t>
      </w:r>
      <w:r>
        <w:rPr>
          <w:rFonts w:ascii="仿宋_GB2312" w:hAnsi="仿宋_GB2312" w:eastAsia="仿宋_GB2312" w:cs="仿宋_GB2312"/>
          <w:sz w:val="21"/>
          <w:lang w:eastAsia="zh-CN"/>
        </w:rPr>
        <w:t>案件的发生地区和时间、违法类型、处理结果</w:t>
      </w:r>
      <w:r>
        <w:rPr>
          <w:rFonts w:ascii="仿宋_GB2312" w:hAnsi="仿宋_GB2312" w:eastAsia="仿宋_GB2312" w:cs="仿宋_GB2312"/>
          <w:sz w:val="21"/>
        </w:rPr>
        <w:t>进行标签化管理。</w:t>
      </w:r>
    </w:p>
    <w:p w14:paraId="233C72AB">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案例查询与详情展示：</w:t>
      </w:r>
      <w:r>
        <w:rPr>
          <w:rFonts w:ascii="仿宋_GB2312" w:hAnsi="仿宋_GB2312" w:eastAsia="仿宋_GB2312" w:cs="仿宋_GB2312"/>
          <w:sz w:val="21"/>
        </w:rPr>
        <w:t>系统支持按</w:t>
      </w:r>
      <w:r>
        <w:rPr>
          <w:rFonts w:ascii="仿宋_GB2312" w:hAnsi="仿宋_GB2312" w:eastAsia="仿宋_GB2312" w:cs="仿宋_GB2312"/>
          <w:sz w:val="21"/>
          <w:lang w:eastAsia="zh-CN"/>
        </w:rPr>
        <w:t>案件的发生地区和时间、违法类型、处理结果</w:t>
      </w:r>
      <w:r>
        <w:rPr>
          <w:rFonts w:ascii="仿宋_GB2312" w:hAnsi="仿宋_GB2312" w:eastAsia="仿宋_GB2312" w:cs="仿宋_GB2312"/>
          <w:sz w:val="21"/>
        </w:rPr>
        <w:t>等条件进行组合查询。案例详情页面展示案件基本事实、处理结果、法律依据、裁量情况、办案提示、风险警示和案例来源，辅助执法人员了解同类案件的处理方式。</w:t>
      </w:r>
    </w:p>
    <w:p w14:paraId="6107DBDE">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4.</w:t>
      </w:r>
      <w:r>
        <w:rPr>
          <w:rFonts w:ascii="仿宋_GB2312" w:hAnsi="仿宋_GB2312" w:eastAsia="仿宋_GB2312" w:cs="仿宋_GB2312"/>
          <w:sz w:val="21"/>
        </w:rPr>
        <w:t>简化案情录入</w:t>
      </w:r>
    </w:p>
    <w:p w14:paraId="058AB403">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案件要素录入：</w:t>
      </w:r>
      <w:r>
        <w:rPr>
          <w:rFonts w:ascii="仿宋_GB2312" w:hAnsi="仿宋_GB2312" w:eastAsia="仿宋_GB2312" w:cs="仿宋_GB2312"/>
          <w:sz w:val="21"/>
        </w:rPr>
        <w:t>系统提供结构化选项和自然语言描述两种录入方式。结构化选项包括违法主体及主体类型、行为描述、设备类型和数量以及其他与裁量有关的情节，执法人员可通过勾选和补充填写的方式快速完成案情录入。自然语言描述录入让执法人员可直接输入文本化案情描述，系统通过语义分析提取</w:t>
      </w:r>
      <w:r>
        <w:rPr>
          <w:rFonts w:ascii="仿宋_GB2312" w:hAnsi="仿宋_GB2312" w:eastAsia="仿宋_GB2312" w:cs="仿宋_GB2312"/>
          <w:sz w:val="21"/>
          <w:lang w:eastAsia="zh-CN"/>
        </w:rPr>
        <w:t>违法时间、违法地点、</w:t>
      </w:r>
      <w:r>
        <w:rPr>
          <w:rFonts w:ascii="仿宋_GB2312" w:hAnsi="仿宋_GB2312" w:eastAsia="仿宋_GB2312" w:cs="仿宋_GB2312"/>
          <w:sz w:val="21"/>
        </w:rPr>
        <w:t>违法主体、违法行为</w:t>
      </w:r>
      <w:r>
        <w:rPr>
          <w:rFonts w:ascii="仿宋_GB2312" w:hAnsi="仿宋_GB2312" w:eastAsia="仿宋_GB2312" w:cs="仿宋_GB2312"/>
          <w:sz w:val="21"/>
          <w:lang w:eastAsia="zh-CN"/>
        </w:rPr>
        <w:t>、具体情节</w:t>
      </w:r>
      <w:r>
        <w:rPr>
          <w:rFonts w:ascii="仿宋_GB2312" w:hAnsi="仿宋_GB2312" w:eastAsia="仿宋_GB2312" w:cs="仿宋_GB2312"/>
          <w:sz w:val="21"/>
        </w:rPr>
        <w:t>等核心要素，并将提取结果转换为结构化字段进行展示。</w:t>
      </w:r>
    </w:p>
    <w:p w14:paraId="35287AD5">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案情要素提取与确认：</w:t>
      </w:r>
      <w:r>
        <w:rPr>
          <w:rFonts w:ascii="仿宋_GB2312" w:hAnsi="仿宋_GB2312" w:eastAsia="仿宋_GB2312" w:cs="仿宋_GB2312"/>
          <w:sz w:val="21"/>
        </w:rPr>
        <w:t>系统以可编辑表单展示结构化录入及自然语言提取结果，执法人员可对有关字段进行补充、修改和确认。对于必要要素缺失、内容存在冲突或者无法准确识别的情况，系统提示补充信息或进行人工核实，不强行生成确定性结论。</w:t>
      </w:r>
    </w:p>
    <w:p w14:paraId="6CFD0981">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结构化结果输出：</w:t>
      </w:r>
      <w:r>
        <w:rPr>
          <w:rFonts w:ascii="仿宋_GB2312" w:hAnsi="仿宋_GB2312" w:eastAsia="仿宋_GB2312" w:cs="仿宋_GB2312"/>
          <w:sz w:val="21"/>
        </w:rPr>
        <w:t>经执法人员确认后，系统形成统一的结构化案件要素，作为违法行为匹配、裁量阶次判断、处罚额度测算和类案检索的输入。系统不对证据真实性、合法性和证明力作出判断。</w:t>
      </w:r>
    </w:p>
    <w:p w14:paraId="426288AF">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5.</w:t>
      </w:r>
      <w:r>
        <w:rPr>
          <w:rFonts w:ascii="仿宋_GB2312" w:hAnsi="仿宋_GB2312" w:eastAsia="仿宋_GB2312" w:cs="仿宋_GB2312"/>
          <w:sz w:val="21"/>
        </w:rPr>
        <w:t>行政处罚智能裁量辅助</w:t>
      </w:r>
    </w:p>
    <w:p w14:paraId="59226DED">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b/>
          <w:bCs/>
          <w:sz w:val="21"/>
        </w:rPr>
        <w:t>裁量基准匹配：</w:t>
      </w:r>
      <w:r>
        <w:rPr>
          <w:rFonts w:ascii="仿宋_GB2312" w:hAnsi="仿宋_GB2312" w:eastAsia="仿宋_GB2312" w:cs="仿宋_GB2312"/>
          <w:sz w:val="21"/>
        </w:rPr>
        <w:t>系统内置经审核确认、现行有效版本的国家和省内无线电管理行政处罚裁量权基准，以执法人员确认的案件要素为输入，匹配</w:t>
      </w:r>
      <w:r>
        <w:rPr>
          <w:rFonts w:ascii="仿宋_GB2312" w:hAnsi="仿宋_GB2312" w:eastAsia="仿宋_GB2312" w:cs="仿宋_GB2312"/>
          <w:sz w:val="21"/>
          <w:lang w:eastAsia="zh-CN"/>
        </w:rPr>
        <w:t>对应的违法行为、法律法规条款、裁量规范，初步生成可供参考的裁量结果及说明。</w:t>
      </w:r>
    </w:p>
    <w:p w14:paraId="18DFFA76">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裁量阶次与处罚建议：</w:t>
      </w:r>
      <w:r>
        <w:rPr>
          <w:rFonts w:ascii="仿宋_GB2312" w:hAnsi="仿宋_GB2312" w:eastAsia="仿宋_GB2312" w:cs="仿宋_GB2312"/>
          <w:sz w:val="21"/>
        </w:rPr>
        <w:t>系统依据结构化裁量规则，对不予处罚、从轻处罚、减轻处罚、一般处罚和从重处罚等裁量情形进行判断，并在法定处罚幅度和裁量基准范围内测算处罚额度区间。对于案件要素完整、规则匹配明确的情形，系统可给出参考处罚建议；对于要素缺失、规则冲突或者存在多种适用可能的情形，系统展示候选结果、缺失信息和待核实事项，不直接生成唯一处罚结论。</w:t>
      </w:r>
    </w:p>
    <w:p w14:paraId="639840C7">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裁量分析结果展示：</w:t>
      </w:r>
      <w:r>
        <w:rPr>
          <w:rFonts w:ascii="仿宋_GB2312" w:hAnsi="仿宋_GB2312" w:eastAsia="仿宋_GB2312" w:cs="仿宋_GB2312"/>
          <w:sz w:val="21"/>
        </w:rPr>
        <w:t>系统展示案件要素摘要、适用</w:t>
      </w:r>
      <w:r>
        <w:rPr>
          <w:rFonts w:ascii="仿宋_GB2312" w:hAnsi="仿宋_GB2312" w:eastAsia="仿宋_GB2312" w:cs="仿宋_GB2312"/>
          <w:sz w:val="21"/>
          <w:lang w:eastAsia="zh-CN"/>
        </w:rPr>
        <w:t>法律</w:t>
      </w:r>
      <w:r>
        <w:rPr>
          <w:rFonts w:ascii="仿宋_GB2312" w:hAnsi="仿宋_GB2312" w:eastAsia="仿宋_GB2312" w:cs="仿宋_GB2312"/>
          <w:sz w:val="21"/>
        </w:rPr>
        <w:t>法规、裁量情节、建议裁量阶次、裁量理由、涉刑风险和缺失信息。系统输出仅作为执法辅助参考，最终违法行为定性、裁量阶次选择、处罚决定及涉刑移送决定由执法人员依法作出。</w:t>
      </w:r>
    </w:p>
    <w:p w14:paraId="62FA102C">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6.</w:t>
      </w:r>
      <w:r>
        <w:rPr>
          <w:rFonts w:ascii="仿宋_GB2312" w:hAnsi="仿宋_GB2312" w:eastAsia="仿宋_GB2312" w:cs="仿宋_GB2312"/>
          <w:sz w:val="21"/>
        </w:rPr>
        <w:t>类案智能推送</w:t>
      </w:r>
    </w:p>
    <w:p w14:paraId="2E4B47D2">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类案检索条件与处理：</w:t>
      </w:r>
      <w:r>
        <w:rPr>
          <w:rFonts w:ascii="仿宋_GB2312" w:hAnsi="仿宋_GB2312" w:eastAsia="仿宋_GB2312" w:cs="仿宋_GB2312"/>
          <w:sz w:val="21"/>
        </w:rPr>
        <w:t>系统以当前案件的违法</w:t>
      </w:r>
      <w:r>
        <w:rPr>
          <w:rFonts w:ascii="仿宋_GB2312" w:hAnsi="仿宋_GB2312" w:eastAsia="仿宋_GB2312" w:cs="仿宋_GB2312"/>
          <w:sz w:val="21"/>
          <w:lang w:eastAsia="zh-CN"/>
        </w:rPr>
        <w:t>行为</w:t>
      </w:r>
      <w:r>
        <w:rPr>
          <w:rFonts w:ascii="仿宋_GB2312" w:hAnsi="仿宋_GB2312" w:eastAsia="仿宋_GB2312" w:cs="仿宋_GB2312"/>
          <w:sz w:val="21"/>
        </w:rPr>
        <w:t>、</w:t>
      </w:r>
      <w:r>
        <w:rPr>
          <w:rFonts w:ascii="仿宋_GB2312" w:hAnsi="仿宋_GB2312" w:eastAsia="仿宋_GB2312" w:cs="仿宋_GB2312"/>
          <w:sz w:val="21"/>
          <w:lang w:eastAsia="zh-CN"/>
        </w:rPr>
        <w:t>适用法律法规条款</w:t>
      </w:r>
      <w:r>
        <w:rPr>
          <w:rFonts w:ascii="仿宋_GB2312" w:hAnsi="仿宋_GB2312" w:eastAsia="仿宋_GB2312" w:cs="仿宋_GB2312"/>
          <w:sz w:val="21"/>
        </w:rPr>
        <w:t>、</w:t>
      </w:r>
      <w:r>
        <w:rPr>
          <w:rFonts w:ascii="仿宋_GB2312" w:hAnsi="仿宋_GB2312" w:eastAsia="仿宋_GB2312" w:cs="仿宋_GB2312"/>
          <w:sz w:val="21"/>
          <w:lang w:eastAsia="zh-CN"/>
        </w:rPr>
        <w:t>处理结果</w:t>
      </w:r>
      <w:r>
        <w:rPr>
          <w:rFonts w:ascii="仿宋_GB2312" w:hAnsi="仿宋_GB2312" w:eastAsia="仿宋_GB2312" w:cs="仿宋_GB2312"/>
          <w:sz w:val="21"/>
        </w:rPr>
        <w:t>等元素作为输入，先按照案件类型、适用法条和关键标签筛选候选案例，再结合事实描述的语义相似度进行检索和排序。</w:t>
      </w:r>
    </w:p>
    <w:p w14:paraId="190F02FB">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类案推送页面展示：</w:t>
      </w:r>
      <w:r>
        <w:rPr>
          <w:rFonts w:ascii="仿宋_GB2312" w:hAnsi="仿宋_GB2312" w:eastAsia="仿宋_GB2312" w:cs="仿宋_GB2312"/>
          <w:sz w:val="21"/>
        </w:rPr>
        <w:t>系统返回按相关度排序的3至5个候选案例，优先展示福建省内同类案例。页面展示案例基本情况、相似点、差异点、处理结果、适用法条、裁量情况、办案提示和来源。</w:t>
      </w:r>
    </w:p>
    <w:p w14:paraId="6FF219CB">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类案输出边界：</w:t>
      </w:r>
      <w:r>
        <w:rPr>
          <w:rFonts w:ascii="仿宋_GB2312" w:hAnsi="仿宋_GB2312" w:eastAsia="仿宋_GB2312" w:cs="仿宋_GB2312"/>
          <w:sz w:val="21"/>
        </w:rPr>
        <w:t>没有达到参考条件的案例时，系统提示暂无足够相似案例，不强行推荐。类案结果仅供执法人员了解同类案件和识别风险，不作为违法行为定性、裁量阶次选择和处罚决定的直接依据。</w:t>
      </w:r>
    </w:p>
    <w:p w14:paraId="35D46CF2">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7.</w:t>
      </w:r>
      <w:r>
        <w:rPr>
          <w:rFonts w:ascii="仿宋_GB2312" w:hAnsi="仿宋_GB2312" w:eastAsia="仿宋_GB2312" w:cs="仿宋_GB2312"/>
          <w:sz w:val="21"/>
        </w:rPr>
        <w:t>法规智能问答</w:t>
      </w:r>
    </w:p>
    <w:p w14:paraId="31643E7B">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执法问题输入与知识检索：</w:t>
      </w:r>
      <w:r>
        <w:rPr>
          <w:rFonts w:ascii="仿宋_GB2312" w:hAnsi="仿宋_GB2312" w:eastAsia="仿宋_GB2312" w:cs="仿宋_GB2312"/>
          <w:sz w:val="21"/>
        </w:rPr>
        <w:t>执法人员可通过文字输入</w:t>
      </w:r>
      <w:r>
        <w:rPr>
          <w:rFonts w:ascii="仿宋_GB2312" w:hAnsi="仿宋_GB2312" w:eastAsia="仿宋_GB2312" w:cs="仿宋_GB2312"/>
          <w:sz w:val="21"/>
          <w:lang w:eastAsia="zh-CN"/>
        </w:rPr>
        <w:t>法律</w:t>
      </w:r>
      <w:r>
        <w:rPr>
          <w:rFonts w:ascii="仿宋_GB2312" w:hAnsi="仿宋_GB2312" w:eastAsia="仿宋_GB2312" w:cs="仿宋_GB2312"/>
          <w:sz w:val="21"/>
        </w:rPr>
        <w:t>法规查询、案例检索等问题。系统对问题进行语义理解，从已审核发布的核心</w:t>
      </w:r>
      <w:r>
        <w:rPr>
          <w:rFonts w:ascii="仿宋_GB2312" w:hAnsi="仿宋_GB2312" w:eastAsia="仿宋_GB2312" w:cs="仿宋_GB2312"/>
          <w:sz w:val="21"/>
          <w:lang w:eastAsia="zh-CN"/>
        </w:rPr>
        <w:t>法律</w:t>
      </w:r>
      <w:r>
        <w:rPr>
          <w:rFonts w:ascii="仿宋_GB2312" w:hAnsi="仿宋_GB2312" w:eastAsia="仿宋_GB2312" w:cs="仿宋_GB2312"/>
          <w:sz w:val="21"/>
        </w:rPr>
        <w:t>法规知识库和典型案例库中检索相关条款和案例，并对候选内容进行排序。</w:t>
      </w:r>
    </w:p>
    <w:p w14:paraId="6DBDC1DB">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b/>
          <w:bCs/>
          <w:sz w:val="21"/>
        </w:rPr>
        <w:t>问答结果生成与展示：</w:t>
      </w:r>
      <w:r>
        <w:rPr>
          <w:rFonts w:ascii="仿宋_GB2312" w:hAnsi="仿宋_GB2312" w:eastAsia="仿宋_GB2312" w:cs="仿宋_GB2312"/>
          <w:sz w:val="21"/>
        </w:rPr>
        <w:t>系统基于检索到的</w:t>
      </w:r>
      <w:r>
        <w:rPr>
          <w:rFonts w:ascii="仿宋_GB2312" w:hAnsi="仿宋_GB2312" w:eastAsia="仿宋_GB2312" w:cs="仿宋_GB2312"/>
          <w:sz w:val="21"/>
          <w:lang w:eastAsia="zh-CN"/>
        </w:rPr>
        <w:t>法律</w:t>
      </w:r>
      <w:r>
        <w:rPr>
          <w:rFonts w:ascii="仿宋_GB2312" w:hAnsi="仿宋_GB2312" w:eastAsia="仿宋_GB2312" w:cs="仿宋_GB2312"/>
          <w:sz w:val="21"/>
        </w:rPr>
        <w:t>法规和案例生成</w:t>
      </w:r>
      <w:r>
        <w:rPr>
          <w:rFonts w:ascii="仿宋_GB2312" w:hAnsi="仿宋_GB2312" w:eastAsia="仿宋_GB2312" w:cs="仿宋_GB2312"/>
          <w:sz w:val="21"/>
          <w:lang w:eastAsia="zh-CN"/>
        </w:rPr>
        <w:t>参考答复</w:t>
      </w:r>
      <w:r>
        <w:rPr>
          <w:rFonts w:ascii="仿宋_GB2312" w:hAnsi="仿宋_GB2312" w:eastAsia="仿宋_GB2312" w:cs="仿宋_GB2312"/>
          <w:sz w:val="21"/>
        </w:rPr>
        <w:t>，页面展示结论摘要、适用条件、引用法规、条款号、原文片段和相关案例，并支持跳转查看完整内容，确保回答内容具备可核验的来源依据。检索不到充分依据或者问题超出已发布知识范围时，系统应提示暂无充分依据，不编造法律依据和确定性结论</w:t>
      </w:r>
      <w:r>
        <w:rPr>
          <w:rFonts w:ascii="仿宋_GB2312" w:hAnsi="仿宋_GB2312" w:eastAsia="仿宋_GB2312" w:cs="仿宋_GB2312"/>
          <w:sz w:val="21"/>
          <w:lang w:eastAsia="zh-CN"/>
        </w:rPr>
        <w:t>。</w:t>
      </w:r>
    </w:p>
    <w:p w14:paraId="23C2F236">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8.</w:t>
      </w:r>
      <w:r>
        <w:rPr>
          <w:rFonts w:ascii="仿宋_GB2312" w:hAnsi="仿宋_GB2312" w:eastAsia="仿宋_GB2312" w:cs="仿宋_GB2312"/>
          <w:sz w:val="21"/>
        </w:rPr>
        <w:t>全省案件统计展示</w:t>
      </w:r>
    </w:p>
    <w:p w14:paraId="08D2BAA4">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对本系统中经执法人员确认保存的案件进行分类汇总，支持按年度、月份、所属地区、案件类型、处罚结果等维度进行统计。统计页面展示全省案件总量、各地区案件数量、案件类型分布、案件数量变化趋势等内容。</w:t>
      </w:r>
    </w:p>
    <w:p w14:paraId="174EE1D3">
      <w:pPr>
        <w:pStyle w:val="10"/>
        <w:ind w:firstLine="422" w:firstLineChars="200"/>
        <w:jc w:val="both"/>
        <w:rPr>
          <w:rFonts w:ascii="仿宋_GB2312" w:hAnsi="仿宋_GB2312" w:eastAsia="仿宋_GB2312" w:cs="仿宋_GB2312"/>
          <w:b/>
          <w:sz w:val="21"/>
        </w:rPr>
      </w:pPr>
      <w:r>
        <w:rPr>
          <w:rFonts w:ascii="仿宋_GB2312" w:hAnsi="仿宋_GB2312" w:eastAsia="仿宋_GB2312" w:cs="仿宋_GB2312"/>
          <w:b/>
          <w:sz w:val="21"/>
          <w:lang w:eastAsia="zh-CN"/>
        </w:rPr>
        <w:t>（二）</w:t>
      </w:r>
      <w:r>
        <w:rPr>
          <w:rFonts w:ascii="仿宋_GB2312" w:hAnsi="仿宋_GB2312" w:eastAsia="仿宋_GB2312" w:cs="仿宋_GB2312"/>
          <w:b/>
          <w:sz w:val="21"/>
        </w:rPr>
        <w:t>结果可靠性保障</w:t>
      </w:r>
    </w:p>
    <w:p w14:paraId="483A10A0">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1.</w:t>
      </w:r>
      <w:r>
        <w:rPr>
          <w:rFonts w:ascii="仿宋_GB2312" w:hAnsi="仿宋_GB2312" w:eastAsia="仿宋_GB2312" w:cs="仿宋_GB2312"/>
          <w:sz w:val="21"/>
        </w:rPr>
        <w:t>权威知识约束</w:t>
      </w:r>
    </w:p>
    <w:p w14:paraId="769CB412">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法规、案例和裁量规则必须经过审核发布后方可被AI调用，所有涉及法规和裁量的输出均展示法规名称、条款、来源，防止模型脱离权威知识自由生成法律依据。</w:t>
      </w:r>
    </w:p>
    <w:p w14:paraId="74B51098">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ascii="仿宋_GB2312" w:hAnsi="仿宋_GB2312" w:eastAsia="仿宋_GB2312" w:cs="仿宋_GB2312"/>
          <w:sz w:val="21"/>
        </w:rPr>
        <w:t>模型与规则协同</w:t>
      </w:r>
    </w:p>
    <w:p w14:paraId="614A9360">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系统采用检索增强生成方式，大模型负责语义理解、案件要素提取和候选结果匹配。无充分依据时拒绝给出确定性结论，降低模型幻觉、错误引用和不当依赖风险。</w:t>
      </w:r>
    </w:p>
    <w:p w14:paraId="0504A2F8">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综上所述，一期系统以核心法规知识库和典型案例库为知识基础，以简化案情录入为统一业务入口，通过行政处罚智能裁量辅助、类案智能推送和法规智能问答，为执法人员提供法规查询、案件要素整理、违法行为候选匹配、裁量阶次分析、处罚额度测算和同类案例参考。所有AI输出均保留来源依据、规则过程和人工复核环节，最终违法行为定性、裁量阶次选择和行政处罚决定由执法人员依法确认。</w:t>
      </w:r>
    </w:p>
    <w:p w14:paraId="72054425">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（三）权限管理与操作日志功能</w:t>
      </w:r>
    </w:p>
    <w:p w14:paraId="4F142E69">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1.</w:t>
      </w:r>
      <w:r>
        <w:rPr>
          <w:rFonts w:ascii="仿宋_GB2312" w:hAnsi="仿宋_GB2312" w:eastAsia="仿宋_GB2312" w:cs="仿宋_GB2312"/>
          <w:sz w:val="21"/>
        </w:rPr>
        <w:t>分级权限管控</w:t>
      </w:r>
    </w:p>
    <w:p w14:paraId="54454C6F">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构建用户权限规则库，按用户类型（执法人员、系统管理员等）分配权限，权限划分严格遵循“最小必要”原则：</w:t>
      </w:r>
    </w:p>
    <w:p w14:paraId="01921372">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执法人员：可上传案件信息、访问裁量辅助研判等功能。</w:t>
      </w:r>
    </w:p>
    <w:p w14:paraId="5C00BD13">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系统管理员：权限配置、数据维护、日志管理权限。</w:t>
      </w:r>
    </w:p>
    <w:p w14:paraId="236278BE">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支持权限动态调整，根据工作变动及时更新用户权限，确保权限合规，避免越权操作。</w:t>
      </w:r>
    </w:p>
    <w:p w14:paraId="13BED31D">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ascii="仿宋_GB2312" w:hAnsi="仿宋_GB2312" w:eastAsia="仿宋_GB2312" w:cs="仿宋_GB2312"/>
          <w:sz w:val="21"/>
        </w:rPr>
        <w:t>操作日志全程留痕</w:t>
      </w:r>
    </w:p>
    <w:p w14:paraId="1AB5BAF5">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记录所有用户操作行为，包含操作人、操作时间、操作内容、操作结果、IP 地址，日志不可篡改，支持追溯查询，依据《网络安全法》第二十一条 “采取监测、记录网络运行状态、网络安全事件的技术措施” 的规定。</w:t>
      </w:r>
    </w:p>
    <w:p w14:paraId="48D1FE0E">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（四）基础设施配置</w:t>
      </w:r>
    </w:p>
    <w:p w14:paraId="3B0C29A4">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1.</w:t>
      </w:r>
      <w:r>
        <w:rPr>
          <w:rFonts w:ascii="仿宋_GB2312" w:hAnsi="仿宋_GB2312" w:eastAsia="仿宋_GB2312" w:cs="仿宋_GB2312"/>
          <w:sz w:val="21"/>
        </w:rPr>
        <w:t>存储服务器</w:t>
      </w:r>
      <w:r>
        <w:rPr>
          <w:rFonts w:hint="eastAsia" w:ascii="仿宋_GB2312" w:hAnsi="仿宋_GB2312" w:eastAsia="仿宋_GB2312" w:cs="仿宋_GB2312"/>
          <w:sz w:val="21"/>
          <w:lang w:eastAsia="zh-CN"/>
        </w:rPr>
        <w:t>（预装操作系统）</w:t>
      </w:r>
      <w:r>
        <w:rPr>
          <w:rFonts w:ascii="仿宋_GB2312" w:hAnsi="仿宋_GB2312" w:eastAsia="仿宋_GB2312" w:cs="仿宋_GB2312"/>
          <w:sz w:val="21"/>
        </w:rPr>
        <w:t>配置要求</w:t>
      </w:r>
    </w:p>
    <w:p w14:paraId="5CA64827">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应用服务器、数据服务器配置要求如下：</w:t>
      </w:r>
    </w:p>
    <w:p w14:paraId="722AD642">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CPU：2颗32核及以上、不低于2.2G处理器（支持多线程并发）</w:t>
      </w:r>
    </w:p>
    <w:p w14:paraId="706A96DD">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内存：DDR4\DDR5，≥128GB</w:t>
      </w:r>
    </w:p>
    <w:p w14:paraId="442A83E9">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网络带宽：≥10Gbps（信创兼容网卡）</w:t>
      </w:r>
    </w:p>
    <w:p w14:paraId="2E136394">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存储：不低于固态2*960G+机械2*4T（提升读写速度，适配数据增长）</w:t>
      </w:r>
    </w:p>
    <w:p w14:paraId="249715DF">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操作系统：国产操作系统（兼容Linux发行版，如麒麟OS、统信UOS）</w:t>
      </w:r>
    </w:p>
    <w:p w14:paraId="38DFE7C1">
      <w:pPr>
        <w:pStyle w:val="10"/>
        <w:ind w:firstLine="630" w:firstLineChars="300"/>
        <w:jc w:val="both"/>
        <w:rPr>
          <w:rFonts w:ascii="仿宋_GB2312" w:hAnsi="仿宋_GB2312" w:eastAsia="仿宋_GB2312" w:cs="仿宋_GB2312"/>
          <w:sz w:val="21"/>
        </w:rPr>
      </w:pPr>
      <w:r>
        <w:rPr>
          <w:rFonts w:hint="eastAsia" w:ascii="仿宋_GB2312" w:hAnsi="仿宋_GB2312" w:eastAsia="仿宋_GB2312" w:cs="仿宋_GB2312"/>
          <w:sz w:val="21"/>
          <w:lang w:eastAsia="zh-CN"/>
        </w:rPr>
        <w:t>数据库软件：国产数据库，</w:t>
      </w:r>
      <w:r>
        <w:rPr>
          <w:rFonts w:hint="eastAsia" w:ascii="仿宋_GB2312" w:hAnsi="仿宋_GB2312" w:eastAsia="仿宋_GB2312" w:cs="仿宋_GB2312"/>
          <w:lang w:eastAsia="zh-CN"/>
        </w:rPr>
        <w:t>满足项目及部署环境要求，并预留扩展能力</w:t>
      </w:r>
      <w:r>
        <w:rPr>
          <w:rFonts w:ascii="仿宋_GB2312" w:hAnsi="仿宋_GB2312" w:eastAsia="仿宋_GB2312" w:cs="仿宋_GB2312"/>
          <w:sz w:val="21"/>
        </w:rPr>
        <w:t>。</w:t>
      </w:r>
    </w:p>
    <w:p w14:paraId="00CA996E">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ascii="仿宋_GB2312" w:hAnsi="仿宋_GB2312" w:eastAsia="仿宋_GB2312" w:cs="仿宋_GB2312"/>
          <w:sz w:val="21"/>
        </w:rPr>
        <w:t>模型及算力服务器</w:t>
      </w:r>
      <w:r>
        <w:rPr>
          <w:rFonts w:hint="eastAsia" w:ascii="仿宋_GB2312" w:hAnsi="仿宋_GB2312" w:eastAsia="仿宋_GB2312" w:cs="仿宋_GB2312"/>
          <w:sz w:val="21"/>
          <w:lang w:eastAsia="zh-CN"/>
        </w:rPr>
        <w:t>（</w:t>
      </w:r>
      <w:r>
        <w:rPr>
          <w:rFonts w:hint="eastAsia" w:ascii="仿宋_GB2312" w:hAnsi="仿宋_GB2312" w:eastAsia="仿宋_GB2312" w:cs="仿宋_GB2312"/>
          <w:sz w:val="21"/>
        </w:rPr>
        <w:t>预装</w:t>
      </w:r>
      <w:r>
        <w:rPr>
          <w:rFonts w:hint="eastAsia" w:ascii="仿宋_GB2312" w:hAnsi="仿宋_GB2312" w:eastAsia="仿宋_GB2312" w:cs="仿宋_GB2312"/>
          <w:sz w:val="21"/>
          <w:lang w:eastAsia="zh-CN"/>
        </w:rPr>
        <w:t>操作系统和</w:t>
      </w:r>
      <w:r>
        <w:rPr>
          <w:rFonts w:hint="eastAsia" w:ascii="仿宋_GB2312" w:hAnsi="仿宋_GB2312" w:eastAsia="仿宋_GB2312" w:cs="仿宋_GB2312"/>
          <w:sz w:val="21"/>
          <w:lang w:val="en-US" w:eastAsia="zh-CN"/>
        </w:rPr>
        <w:t>AI框架</w:t>
      </w:r>
      <w:r>
        <w:rPr>
          <w:rFonts w:hint="eastAsia" w:ascii="仿宋_GB2312" w:hAnsi="仿宋_GB2312" w:eastAsia="仿宋_GB2312" w:cs="仿宋_GB2312"/>
          <w:sz w:val="21"/>
          <w:lang w:eastAsia="zh-CN"/>
        </w:rPr>
        <w:t>）</w:t>
      </w:r>
      <w:r>
        <w:rPr>
          <w:rFonts w:ascii="仿宋_GB2312" w:hAnsi="仿宋_GB2312" w:eastAsia="仿宋_GB2312" w:cs="仿宋_GB2312"/>
          <w:sz w:val="21"/>
        </w:rPr>
        <w:t>配置要求</w:t>
      </w:r>
    </w:p>
    <w:p w14:paraId="776CBAEB">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满足国内通用大语言模型（轻量版/蒸馏版），支持政务执法场景国产化部署与自主可控，一期采用轻量版本，降低算力资源消耗，配置要求如下：</w:t>
      </w:r>
    </w:p>
    <w:tbl>
      <w:tblPr>
        <w:tblStyle w:val="7"/>
        <w:tblW w:w="8353" w:type="dxa"/>
        <w:jc w:val="center"/>
        <w:tblLayout w:type="autofit"/>
        <w:tblCellMar>
          <w:top w:w="15" w:type="dxa"/>
          <w:left w:w="15" w:type="dxa"/>
          <w:bottom w:w="15" w:type="dxa"/>
          <w:right w:w="15" w:type="dxa"/>
        </w:tblCellMar>
      </w:tblPr>
      <w:tblGrid>
        <w:gridCol w:w="1096"/>
        <w:gridCol w:w="2407"/>
        <w:gridCol w:w="4850"/>
      </w:tblGrid>
      <w:tr w14:paraId="24010354">
        <w:tblPrEx>
          <w:tblCellMar>
            <w:top w:w="15" w:type="dxa"/>
            <w:left w:w="15" w:type="dxa"/>
            <w:bottom w:w="15" w:type="dxa"/>
            <w:right w:w="15" w:type="dxa"/>
          </w:tblCellMar>
        </w:tblPrEx>
        <w:trPr>
          <w:trHeight w:val="327" w:hRule="atLeast"/>
          <w:tblHeader/>
          <w:jc w:val="center"/>
        </w:trPr>
        <w:tc>
          <w:tcPr>
            <w:tcW w:w="1096" w:type="dxa"/>
            <w:tcBorders>
              <w:top w:val="single" w:color="auto" w:sz="12" w:space="0"/>
              <w:left w:val="single" w:color="auto" w:sz="12" w:space="0"/>
              <w:bottom w:val="single" w:color="auto" w:sz="4" w:space="0"/>
              <w:right w:val="single" w:color="auto" w:sz="4" w:space="0"/>
            </w:tcBorders>
            <w:shd w:val="clear" w:color="auto" w:fill="F2F3F5"/>
            <w:tcMar>
              <w:top w:w="96" w:type="dxa"/>
              <w:left w:w="96" w:type="dxa"/>
              <w:bottom w:w="96" w:type="dxa"/>
              <w:right w:w="96" w:type="dxa"/>
            </w:tcMar>
            <w:vAlign w:val="center"/>
          </w:tcPr>
          <w:p w14:paraId="214BBEC9">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硬件组件</w:t>
            </w:r>
          </w:p>
        </w:tc>
        <w:tc>
          <w:tcPr>
            <w:tcW w:w="2407" w:type="dxa"/>
            <w:tcBorders>
              <w:top w:val="single" w:color="auto" w:sz="12" w:space="0"/>
              <w:left w:val="single" w:color="auto" w:sz="4" w:space="0"/>
              <w:bottom w:val="single" w:color="auto" w:sz="4" w:space="0"/>
              <w:right w:val="single" w:color="auto" w:sz="4" w:space="0"/>
            </w:tcBorders>
            <w:shd w:val="clear" w:color="auto" w:fill="F2F3F5"/>
            <w:tcMar>
              <w:top w:w="96" w:type="dxa"/>
              <w:left w:w="96" w:type="dxa"/>
              <w:bottom w:w="96" w:type="dxa"/>
              <w:right w:w="96" w:type="dxa"/>
            </w:tcMar>
            <w:vAlign w:val="center"/>
          </w:tcPr>
          <w:p w14:paraId="71E2FC4F">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具体配置</w:t>
            </w:r>
          </w:p>
        </w:tc>
        <w:tc>
          <w:tcPr>
            <w:tcW w:w="4850" w:type="dxa"/>
            <w:tcBorders>
              <w:top w:val="single" w:color="auto" w:sz="12" w:space="0"/>
              <w:left w:val="single" w:color="auto" w:sz="4" w:space="0"/>
              <w:bottom w:val="single" w:color="auto" w:sz="4" w:space="0"/>
              <w:right w:val="single" w:color="auto" w:sz="12" w:space="0"/>
            </w:tcBorders>
            <w:shd w:val="clear" w:color="auto" w:fill="F2F3F5"/>
            <w:tcMar>
              <w:top w:w="96" w:type="dxa"/>
              <w:left w:w="96" w:type="dxa"/>
              <w:bottom w:w="96" w:type="dxa"/>
              <w:right w:w="96" w:type="dxa"/>
            </w:tcMar>
            <w:vAlign w:val="center"/>
          </w:tcPr>
          <w:p w14:paraId="2BF653FE">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配置说明</w:t>
            </w:r>
          </w:p>
        </w:tc>
      </w:tr>
      <w:tr w14:paraId="199B267B">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55E96F00">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GPU/NPU</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775449C2">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 xml:space="preserve"> </w:t>
            </w:r>
            <w:r>
              <w:rPr>
                <w:rFonts w:hint="eastAsia" w:ascii="仿宋_GB2312" w:hAnsi="仿宋_GB2312" w:eastAsia="仿宋_GB2312" w:cs="仿宋_GB2312"/>
                <w:sz w:val="21"/>
                <w:szCs w:val="20"/>
                <w:lang w:eastAsia="zh-CN"/>
              </w:rPr>
              <w:t>≥</w:t>
            </w:r>
            <w:r>
              <w:rPr>
                <w:rFonts w:hint="eastAsia" w:ascii="仿宋_GB2312" w:hAnsi="仿宋_GB2312" w:eastAsia="仿宋_GB2312" w:cs="仿宋_GB2312"/>
                <w:sz w:val="21"/>
                <w:szCs w:val="20"/>
              </w:rPr>
              <w:t>2张</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779E93DB">
            <w:pPr>
              <w:widowControl w:val="0"/>
              <w:snapToGrid w:val="0"/>
              <w:ind w:firstLine="0"/>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专业推理GPU/NPU，64GB大显存，显存带宽不低于400GB/s,算力不低于260TFLOPS，适配大规模部署场景。</w:t>
            </w:r>
          </w:p>
        </w:tc>
      </w:tr>
      <w:tr w14:paraId="6FC8E4CE">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7020022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CPU</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16FF0788">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不低于2颗2.2G、32核64线程及以上</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50D0A7F9">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算力充足，支持高并发数据预处理、推理调度，适配大规模多模型并发调用场景，保障系统整体响应速度。</w:t>
            </w:r>
          </w:p>
        </w:tc>
      </w:tr>
      <w:tr w14:paraId="6AF09504">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08FE9B8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内存（RAM）</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2AA0C0FD">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lang w:eastAsia="zh-CN"/>
              </w:rPr>
              <w:t>不低于</w:t>
            </w:r>
            <w:r>
              <w:rPr>
                <w:rFonts w:hint="eastAsia" w:ascii="仿宋_GB2312" w:hAnsi="仿宋_GB2312" w:eastAsia="仿宋_GB2312" w:cs="仿宋_GB2312"/>
                <w:sz w:val="21"/>
                <w:szCs w:val="20"/>
              </w:rPr>
              <w:t>256GB DDR4或DDR5</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74187FED">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256GB容量支持多模型缓存、高并发数据加载，适配大规模推理场景的内存需求。</w:t>
            </w:r>
          </w:p>
        </w:tc>
      </w:tr>
      <w:tr w14:paraId="2A82539F">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2A91A647">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存储</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30A4B3F5">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lang w:eastAsia="zh-CN"/>
              </w:rPr>
              <w:t>不低于</w:t>
            </w:r>
            <w:r>
              <w:rPr>
                <w:rFonts w:hint="eastAsia" w:ascii="仿宋_GB2312" w:hAnsi="仿宋_GB2312" w:eastAsia="仿宋_GB2312" w:cs="仿宋_GB2312"/>
                <w:sz w:val="21"/>
                <w:szCs w:val="20"/>
              </w:rPr>
              <w:t>4TB NVMe SSD（RAID 0） + 8TB SATA III HDD（RAID 5）</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3998806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RAID 0阵列提升NVMe SSD读写速度，保障多模型同时加载效率；RAID 5阵列提升HDD存储可靠性，用于存储大量推理日志、历史数据和模型备份，满足企业级数据安全需求。</w:t>
            </w:r>
          </w:p>
        </w:tc>
      </w:tr>
      <w:tr w14:paraId="46EB5A68">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64CEC5B0">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电源</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6B82E35A">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lang w:eastAsia="zh-CN"/>
              </w:rPr>
              <w:t>不低于</w:t>
            </w:r>
            <w:r>
              <w:rPr>
                <w:rFonts w:hint="eastAsia" w:ascii="仿宋_GB2312" w:hAnsi="仿宋_GB2312" w:eastAsia="仿宋_GB2312" w:cs="仿宋_GB2312"/>
                <w:sz w:val="21"/>
                <w:szCs w:val="20"/>
              </w:rPr>
              <w:t>2×2000W 80Plus钛金（冗余电源）</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1758DB8C">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双冗余电源，避免单电源故障导致系统中断，保障企业级部署的连续性，满足两GPU高负载供电需求。</w:t>
            </w:r>
          </w:p>
        </w:tc>
      </w:tr>
      <w:tr w14:paraId="1D956715">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4DF82BBC">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主板</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44B2B0F9">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双路服务器主板，支持</w:t>
            </w:r>
            <w:r>
              <w:rPr>
                <w:rFonts w:hint="eastAsia" w:ascii="仿宋_GB2312" w:hAnsi="仿宋_GB2312" w:eastAsia="仿宋_GB2312" w:cs="仿宋_GB2312"/>
                <w:sz w:val="21"/>
                <w:szCs w:val="20"/>
                <w:lang w:eastAsia="zh-CN"/>
              </w:rPr>
              <w:t>不少于</w:t>
            </w:r>
            <w:r>
              <w:rPr>
                <w:rFonts w:hint="eastAsia" w:ascii="仿宋_GB2312" w:hAnsi="仿宋_GB2312" w:eastAsia="仿宋_GB2312" w:cs="仿宋_GB2312"/>
                <w:sz w:val="21"/>
                <w:szCs w:val="20"/>
              </w:rPr>
              <w:t>4×PCIe 4.0插槽</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163C2CF5">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支持多卡并行及高速卡间通信，允许HCCL、PCIe或其他厂商等效技术，提升GPU间数据传输速度，避免带宽瓶颈，适配多模型高并发推理和全精度运行需求。</w:t>
            </w:r>
          </w:p>
        </w:tc>
      </w:tr>
      <w:tr w14:paraId="2D6F3112">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4" w:space="0"/>
              <w:right w:val="single" w:color="auto" w:sz="4" w:space="0"/>
            </w:tcBorders>
            <w:tcMar>
              <w:top w:w="96" w:type="dxa"/>
              <w:left w:w="96" w:type="dxa"/>
              <w:bottom w:w="96" w:type="dxa"/>
              <w:right w:w="96" w:type="dxa"/>
            </w:tcMar>
            <w:vAlign w:val="center"/>
          </w:tcPr>
          <w:p w14:paraId="07A04D53">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散热与机箱</w:t>
            </w:r>
          </w:p>
        </w:tc>
        <w:tc>
          <w:tcPr>
            <w:tcW w:w="2407"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2BC32193">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机架式服务器机箱 + 专业的风冷方案</w:t>
            </w:r>
          </w:p>
        </w:tc>
        <w:tc>
          <w:tcPr>
            <w:tcW w:w="4850" w:type="dxa"/>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77EBD59F">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GPU高负载运行时发热量大，专业的风冷方案能有效提高散热效率，保障GPU温度稳定在合理范围，避免过热降频，确保推理性能稳定。</w:t>
            </w:r>
          </w:p>
        </w:tc>
      </w:tr>
      <w:tr w14:paraId="636E7E5D">
        <w:tblPrEx>
          <w:tblCellMar>
            <w:top w:w="15" w:type="dxa"/>
            <w:left w:w="15" w:type="dxa"/>
            <w:bottom w:w="15" w:type="dxa"/>
            <w:right w:w="15" w:type="dxa"/>
          </w:tblCellMar>
        </w:tblPrEx>
        <w:trPr>
          <w:jc w:val="center"/>
        </w:trPr>
        <w:tc>
          <w:tcPr>
            <w:tcW w:w="1096" w:type="dxa"/>
            <w:tcBorders>
              <w:top w:val="single" w:color="auto" w:sz="4" w:space="0"/>
              <w:left w:val="single" w:color="auto" w:sz="12" w:space="0"/>
              <w:bottom w:val="single" w:color="auto" w:sz="12" w:space="0"/>
              <w:right w:val="single" w:color="auto" w:sz="4" w:space="0"/>
            </w:tcBorders>
            <w:tcMar>
              <w:top w:w="96" w:type="dxa"/>
              <w:left w:w="96" w:type="dxa"/>
              <w:bottom w:w="96" w:type="dxa"/>
              <w:right w:w="96" w:type="dxa"/>
            </w:tcMar>
            <w:vAlign w:val="center"/>
          </w:tcPr>
          <w:p w14:paraId="1DBA403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网络</w:t>
            </w:r>
          </w:p>
        </w:tc>
        <w:tc>
          <w:tcPr>
            <w:tcW w:w="2407" w:type="dxa"/>
            <w:tcBorders>
              <w:top w:val="single" w:color="auto" w:sz="4" w:space="0"/>
              <w:left w:val="single" w:color="auto" w:sz="4" w:space="0"/>
              <w:bottom w:val="single" w:color="auto" w:sz="12" w:space="0"/>
              <w:right w:val="single" w:color="auto" w:sz="4" w:space="0"/>
            </w:tcBorders>
            <w:tcMar>
              <w:top w:w="96" w:type="dxa"/>
              <w:left w:w="96" w:type="dxa"/>
              <w:bottom w:w="96" w:type="dxa"/>
              <w:right w:w="96" w:type="dxa"/>
            </w:tcMar>
            <w:vAlign w:val="center"/>
          </w:tcPr>
          <w:p w14:paraId="0D3DDB5E">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10GbE万兆网卡</w:t>
            </w:r>
          </w:p>
        </w:tc>
        <w:tc>
          <w:tcPr>
            <w:tcW w:w="4850" w:type="dxa"/>
            <w:tcBorders>
              <w:top w:val="single" w:color="auto" w:sz="4" w:space="0"/>
              <w:left w:val="single" w:color="auto" w:sz="4" w:space="0"/>
              <w:bottom w:val="single" w:color="auto" w:sz="12" w:space="0"/>
              <w:right w:val="single" w:color="auto" w:sz="12" w:space="0"/>
            </w:tcBorders>
            <w:tcMar>
              <w:top w:w="96" w:type="dxa"/>
              <w:left w:w="96" w:type="dxa"/>
              <w:bottom w:w="96" w:type="dxa"/>
              <w:right w:w="96" w:type="dxa"/>
            </w:tcMar>
            <w:vAlign w:val="center"/>
          </w:tcPr>
          <w:p w14:paraId="19155BC6">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提升服务器与内部网络的数据传输速度，适配高并发推理请求的传输需求，避免网络瓶颈影响响应延迟。</w:t>
            </w:r>
          </w:p>
        </w:tc>
      </w:tr>
    </w:tbl>
    <w:p w14:paraId="20F2A1E9">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（五）部署环境</w:t>
      </w:r>
    </w:p>
    <w:p w14:paraId="173A1F3F">
      <w:pPr>
        <w:pStyle w:val="6"/>
        <w:ind w:firstLine="420"/>
        <w:rPr>
          <w:rFonts w:hint="eastAsia" w:ascii="仿宋_GB2312" w:hAnsi="仿宋_GB2312" w:eastAsia="仿宋_GB2312" w:cs="仿宋_GB2312"/>
          <w:b/>
          <w:bCs/>
        </w:rPr>
      </w:pPr>
      <w:r>
        <w:rPr>
          <w:rFonts w:hint="eastAsia" w:ascii="仿宋_GB2312" w:hAnsi="仿宋_GB2312" w:eastAsia="仿宋_GB2312" w:cs="仿宋_GB2312"/>
          <w:b/>
          <w:bCs/>
        </w:rPr>
        <w:t>1.运行环境要求</w:t>
      </w:r>
    </w:p>
    <w:p w14:paraId="2BCD5ED2">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运行环境全面对标信创国产化标准，支持部署于“信创CPU+信创操作系统+信创数据库”的底层架构中，确保核心技术自主可控。系统依托福建省无线电管理信息网进行私有化部署，执法数据的汇聚、存储以及AI模型推理等核心处理环节均在本地内完成，从物理与逻辑双重层面保障数据绝对不出域，且无跨租户资源争抢风险。</w:t>
      </w:r>
    </w:p>
    <w:p w14:paraId="00BB7B34">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部署在福建省无线电管理信息网并集成至福建省无线电管理一体化平台，严格遵循专网安全规范，执行安全隔离与访问控制。网络架构采用虚拟网段（VLAN）划分与最小必要授权机制，严格限制跨域数据访问，禁止未经授权的外网接入。</w:t>
      </w:r>
      <w:r>
        <w:rPr>
          <w:rFonts w:hint="eastAsia" w:ascii="仿宋_GB2312" w:hAnsi="仿宋_GB2312" w:eastAsia="仿宋_GB2312" w:cs="仿宋_GB2312"/>
          <w:sz w:val="21"/>
          <w:lang w:eastAsia="zh-CN"/>
        </w:rPr>
        <w:t>供应商应主动联系采购人获取本项目需要的</w:t>
      </w:r>
      <w:r>
        <w:rPr>
          <w:rFonts w:ascii="仿宋_GB2312" w:hAnsi="仿宋_GB2312" w:eastAsia="仿宋_GB2312" w:cs="仿宋_GB2312"/>
          <w:sz w:val="21"/>
        </w:rPr>
        <w:t>可用网络区域、</w:t>
      </w:r>
      <w:r>
        <w:rPr>
          <w:rFonts w:hint="default" w:ascii="仿宋_GB2312" w:hAnsi="仿宋_GB2312" w:eastAsia="仿宋_GB2312" w:cs="仿宋_GB2312"/>
          <w:sz w:val="21"/>
        </w:rPr>
        <w:t>VLAN</w:t>
      </w:r>
      <w:r>
        <w:rPr>
          <w:rFonts w:ascii="仿宋_GB2312" w:hAnsi="仿宋_GB2312" w:eastAsia="仿宋_GB2312" w:cs="仿宋_GB2312"/>
          <w:sz w:val="21"/>
        </w:rPr>
        <w:t>、访问策略、接口规范、测试环境、账号权限和</w:t>
      </w:r>
      <w:r>
        <w:rPr>
          <w:rFonts w:hint="eastAsia" w:ascii="仿宋_GB2312" w:hAnsi="仿宋_GB2312" w:eastAsia="仿宋_GB2312" w:cs="仿宋_GB2312"/>
          <w:sz w:val="21"/>
          <w:lang w:eastAsia="zh-CN"/>
        </w:rPr>
        <w:t>说明</w:t>
      </w:r>
      <w:r>
        <w:rPr>
          <w:rFonts w:ascii="仿宋_GB2312" w:hAnsi="仿宋_GB2312" w:eastAsia="仿宋_GB2312" w:cs="仿宋_GB2312"/>
          <w:sz w:val="21"/>
        </w:rPr>
        <w:t>必要的安全基础设施</w:t>
      </w:r>
      <w:r>
        <w:rPr>
          <w:rFonts w:hint="eastAsia" w:ascii="仿宋_GB2312" w:hAnsi="仿宋_GB2312" w:eastAsia="仿宋_GB2312" w:cs="仿宋_GB2312"/>
          <w:sz w:val="21"/>
          <w:lang w:eastAsia="zh-CN"/>
        </w:rPr>
        <w:t>，</w:t>
      </w:r>
      <w:r>
        <w:rPr>
          <w:rFonts w:ascii="仿宋_GB2312" w:hAnsi="仿宋_GB2312" w:eastAsia="仿宋_GB2312" w:cs="仿宋_GB2312"/>
          <w:sz w:val="21"/>
        </w:rPr>
        <w:t>完成应用部署、接口开发、配置和测试</w:t>
      </w:r>
      <w:r>
        <w:rPr>
          <w:rFonts w:hint="eastAsia" w:ascii="仿宋_GB2312" w:hAnsi="仿宋_GB2312" w:eastAsia="仿宋_GB2312" w:cs="仿宋_GB2312"/>
          <w:sz w:val="21"/>
          <w:lang w:eastAsia="zh-CN"/>
        </w:rPr>
        <w:t>，直至交付使用</w:t>
      </w:r>
      <w:r>
        <w:rPr>
          <w:rFonts w:ascii="仿宋_GB2312" w:hAnsi="仿宋_GB2312" w:eastAsia="仿宋_GB2312" w:cs="仿宋_GB2312"/>
          <w:sz w:val="21"/>
          <w:lang w:eastAsia="zh-CN"/>
        </w:rPr>
        <w:t>。</w:t>
      </w:r>
    </w:p>
    <w:p w14:paraId="3372365C">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间的数据交互统一通过福建省无线电管理信息网传输，采用WebApi、FTP、TCP等传输协议，并启用国密算法对传输链路进行双重加密保护。与无线电管理一体化平台的数据交互，严格遵循《省级无线电管理一体化平台建设规范及技术要求》等相关标准规范，按最小必要原则配置网络策略。</w:t>
      </w:r>
    </w:p>
    <w:p w14:paraId="3F9C314D">
      <w:pPr>
        <w:pStyle w:val="6"/>
        <w:ind w:firstLine="420"/>
        <w:rPr>
          <w:rFonts w:hint="eastAsia" w:ascii="仿宋_GB2312" w:hAnsi="仿宋_GB2312" w:eastAsia="仿宋_GB2312" w:cs="仿宋_GB2312"/>
          <w:b/>
          <w:bCs/>
        </w:rPr>
      </w:pPr>
      <w:r>
        <w:rPr>
          <w:rFonts w:hint="eastAsia" w:ascii="仿宋_GB2312" w:hAnsi="仿宋_GB2312" w:eastAsia="仿宋_GB2312" w:cs="仿宋_GB2312"/>
          <w:b/>
          <w:bCs/>
        </w:rPr>
        <w:t>2.平台对接要求</w:t>
      </w:r>
    </w:p>
    <w:p w14:paraId="661C400F">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本项目需参照《无线电管理一体化平台体系架构及应用规范》和《无线电管理一体化平台集成规范》的要求进行开发和部署，并接入一体化平台。具体如下：</w:t>
      </w:r>
    </w:p>
    <w:p w14:paraId="64D262F4">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（1）需要在福建省无线电管理一体化平台完成应用注册和单点登录。</w:t>
      </w:r>
    </w:p>
    <w:p w14:paraId="762B0CDE">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（2）</w:t>
      </w:r>
      <w:r>
        <w:rPr>
          <w:rFonts w:hint="eastAsia" w:ascii="仿宋_GB2312" w:hAnsi="仿宋_GB2312" w:eastAsia="仿宋_GB2312" w:cs="仿宋_GB2312"/>
          <w:sz w:val="21"/>
          <w:lang w:eastAsia="zh-CN"/>
        </w:rPr>
        <w:t>对双方确认的接口清单中，一体化平台已经提供且测试可用的数据和服务，本系统应优先通过平台接口调用。平台未提供、未开放或者不满足项目使用条件的，本系统可暂时采用本地实现或预留适配接口，不影响非相关功能验收。</w:t>
      </w:r>
    </w:p>
    <w:p w14:paraId="6C99A5DE">
      <w:pPr>
        <w:pStyle w:val="10"/>
        <w:ind w:firstLine="420"/>
        <w:jc w:val="both"/>
        <w:rPr>
          <w:rFonts w:ascii="仿宋_GB2312" w:hAnsi="仿宋_GB2312" w:eastAsia="仿宋_GB2312" w:cs="仿宋_GB2312"/>
          <w:sz w:val="21"/>
        </w:rPr>
      </w:pPr>
      <w:r>
        <w:rPr>
          <w:rFonts w:ascii="仿宋_GB2312" w:hAnsi="仿宋_GB2312" w:eastAsia="仿宋_GB2312" w:cs="仿宋_GB2312"/>
          <w:sz w:val="21"/>
          <w:lang w:eastAsia="zh-CN"/>
        </w:rPr>
        <w:t>（3）</w:t>
      </w:r>
      <w:r>
        <w:rPr>
          <w:rFonts w:hint="eastAsia" w:ascii="仿宋_GB2312" w:hAnsi="仿宋_GB2312" w:eastAsia="仿宋_GB2312" w:cs="仿宋_GB2312"/>
          <w:sz w:val="21"/>
          <w:lang w:eastAsia="zh-CN"/>
        </w:rPr>
        <w:t>供应商</w:t>
      </w:r>
      <w:r>
        <w:rPr>
          <w:rFonts w:ascii="仿宋_GB2312" w:hAnsi="仿宋_GB2312" w:eastAsia="仿宋_GB2312" w:cs="仿宋_GB2312"/>
          <w:sz w:val="21"/>
          <w:lang w:eastAsia="zh-CN"/>
        </w:rPr>
        <w:t>在试运行前提供数据库和软件功能的API接口文档并进行测试。</w:t>
      </w:r>
    </w:p>
    <w:p w14:paraId="5D7D345A">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（六）项目配置清单</w:t>
      </w:r>
    </w:p>
    <w:p w14:paraId="274E4088">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本项目一期建设内容包含基于AI的无线电智能执法辅助系统</w:t>
      </w:r>
      <w:r>
        <w:rPr>
          <w:rFonts w:ascii="仿宋_GB2312" w:hAnsi="仿宋_GB2312" w:eastAsia="仿宋_GB2312" w:cs="仿宋_GB2312"/>
          <w:sz w:val="21"/>
          <w:lang w:eastAsia="zh-CN"/>
        </w:rPr>
        <w:t>（一期）</w:t>
      </w:r>
      <w:r>
        <w:rPr>
          <w:rFonts w:ascii="仿宋_GB2312" w:hAnsi="仿宋_GB2312" w:eastAsia="仿宋_GB2312" w:cs="仿宋_GB2312"/>
          <w:sz w:val="21"/>
        </w:rPr>
        <w:t>及配套的基础设施环境。具体配置清单如下：</w:t>
      </w:r>
    </w:p>
    <w:tbl>
      <w:tblPr>
        <w:tblStyle w:val="7"/>
        <w:tblW w:w="4998" w:type="pct"/>
        <w:jc w:val="center"/>
        <w:tblLayout w:type="autofit"/>
        <w:tblCellMar>
          <w:top w:w="15" w:type="dxa"/>
          <w:left w:w="15" w:type="dxa"/>
          <w:bottom w:w="15" w:type="dxa"/>
          <w:right w:w="15" w:type="dxa"/>
        </w:tblCellMar>
      </w:tblPr>
      <w:tblGrid>
        <w:gridCol w:w="5678"/>
        <w:gridCol w:w="2817"/>
      </w:tblGrid>
      <w:tr w14:paraId="6B33787F">
        <w:tblPrEx>
          <w:tblCellMar>
            <w:top w:w="15" w:type="dxa"/>
            <w:left w:w="15" w:type="dxa"/>
            <w:bottom w:w="15" w:type="dxa"/>
            <w:right w:w="15" w:type="dxa"/>
          </w:tblCellMar>
        </w:tblPrEx>
        <w:trPr>
          <w:trHeight w:val="374" w:hRule="atLeast"/>
          <w:tblHeader/>
          <w:jc w:val="center"/>
        </w:trPr>
        <w:tc>
          <w:tcPr>
            <w:tcW w:w="3342" w:type="pct"/>
            <w:tcBorders>
              <w:top w:val="single" w:color="auto" w:sz="12" w:space="0"/>
              <w:left w:val="single" w:color="auto" w:sz="4" w:space="0"/>
              <w:bottom w:val="single" w:color="auto" w:sz="4" w:space="0"/>
              <w:right w:val="single" w:color="auto" w:sz="4" w:space="0"/>
            </w:tcBorders>
            <w:shd w:val="clear" w:color="auto" w:fill="F2F3F5"/>
            <w:tcMar>
              <w:top w:w="96" w:type="dxa"/>
              <w:left w:w="96" w:type="dxa"/>
              <w:bottom w:w="96" w:type="dxa"/>
              <w:right w:w="96" w:type="dxa"/>
            </w:tcMar>
            <w:vAlign w:val="center"/>
          </w:tcPr>
          <w:p w14:paraId="000E6119">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应用/设备名称</w:t>
            </w:r>
          </w:p>
        </w:tc>
        <w:tc>
          <w:tcPr>
            <w:tcW w:w="1658" w:type="pct"/>
            <w:tcBorders>
              <w:top w:val="single" w:color="auto" w:sz="12" w:space="0"/>
              <w:left w:val="single" w:color="auto" w:sz="4" w:space="0"/>
              <w:bottom w:val="single" w:color="auto" w:sz="4" w:space="0"/>
              <w:right w:val="single" w:color="auto" w:sz="12" w:space="0"/>
            </w:tcBorders>
            <w:shd w:val="clear" w:color="auto" w:fill="F2F3F5"/>
            <w:tcMar>
              <w:top w:w="96" w:type="dxa"/>
              <w:left w:w="96" w:type="dxa"/>
              <w:bottom w:w="96" w:type="dxa"/>
              <w:right w:w="96" w:type="dxa"/>
            </w:tcMar>
            <w:vAlign w:val="center"/>
          </w:tcPr>
          <w:p w14:paraId="42AFBEB2">
            <w:pPr>
              <w:widowControl w:val="0"/>
              <w:snapToGrid w:val="0"/>
              <w:ind w:firstLine="0"/>
              <w:jc w:val="center"/>
              <w:textAlignment w:val="top"/>
              <w:rPr>
                <w:rFonts w:hint="eastAsia" w:ascii="仿宋_GB2312" w:hAnsi="仿宋_GB2312" w:eastAsia="仿宋_GB2312" w:cs="仿宋_GB2312"/>
                <w:b/>
                <w:bCs/>
                <w:sz w:val="21"/>
                <w:szCs w:val="20"/>
              </w:rPr>
            </w:pPr>
            <w:r>
              <w:rPr>
                <w:rFonts w:hint="eastAsia" w:ascii="仿宋_GB2312" w:hAnsi="仿宋_GB2312" w:eastAsia="仿宋_GB2312" w:cs="仿宋_GB2312"/>
                <w:b/>
                <w:bCs/>
                <w:sz w:val="21"/>
                <w:szCs w:val="20"/>
              </w:rPr>
              <w:t>配置</w:t>
            </w:r>
          </w:p>
        </w:tc>
      </w:tr>
      <w:tr w14:paraId="03C143F5">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30A292B4">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基于AI的无线电智能执法辅助软件系统</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67E2D2E3">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1套</w:t>
            </w:r>
          </w:p>
        </w:tc>
      </w:tr>
      <w:tr w14:paraId="71B98FF1">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2858BA4A">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应用服务器及操作系统</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6EEF69C5">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1台</w:t>
            </w:r>
          </w:p>
        </w:tc>
      </w:tr>
      <w:tr w14:paraId="6A279AB1">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76D4079C">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数据服务器及操作系统</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3F34DDA3">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1台</w:t>
            </w:r>
          </w:p>
        </w:tc>
      </w:tr>
      <w:tr w14:paraId="095C78AC">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0C666866">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算力服务器及操作系统</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4FBFBA57">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1台</w:t>
            </w:r>
          </w:p>
        </w:tc>
      </w:tr>
      <w:tr w14:paraId="73840F8B">
        <w:tblPrEx>
          <w:tblCellMar>
            <w:top w:w="15" w:type="dxa"/>
            <w:left w:w="15" w:type="dxa"/>
            <w:bottom w:w="15" w:type="dxa"/>
            <w:right w:w="15" w:type="dxa"/>
          </w:tblCellMar>
        </w:tblPrEx>
        <w:trPr>
          <w:jc w:val="center"/>
        </w:trPr>
        <w:tc>
          <w:tcPr>
            <w:tcW w:w="3342"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3B8E0287">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数据库软件</w:t>
            </w:r>
          </w:p>
        </w:tc>
        <w:tc>
          <w:tcPr>
            <w:tcW w:w="1658" w:type="pct"/>
            <w:tcBorders>
              <w:top w:val="single" w:color="auto" w:sz="4" w:space="0"/>
              <w:left w:val="single" w:color="auto" w:sz="4" w:space="0"/>
              <w:bottom w:val="single" w:color="auto" w:sz="4" w:space="0"/>
              <w:right w:val="single" w:color="auto" w:sz="12" w:space="0"/>
            </w:tcBorders>
            <w:tcMar>
              <w:top w:w="96" w:type="dxa"/>
              <w:left w:w="96" w:type="dxa"/>
              <w:bottom w:w="96" w:type="dxa"/>
              <w:right w:w="96" w:type="dxa"/>
            </w:tcMar>
            <w:vAlign w:val="center"/>
          </w:tcPr>
          <w:p w14:paraId="5203B6AE">
            <w:pPr>
              <w:widowControl w:val="0"/>
              <w:snapToGrid w:val="0"/>
              <w:ind w:firstLine="0"/>
              <w:jc w:val="center"/>
              <w:textAlignment w:val="top"/>
              <w:rPr>
                <w:rFonts w:hint="eastAsia" w:ascii="仿宋_GB2312" w:hAnsi="仿宋_GB2312" w:eastAsia="仿宋_GB2312" w:cs="仿宋_GB2312"/>
                <w:sz w:val="21"/>
                <w:szCs w:val="20"/>
              </w:rPr>
            </w:pPr>
            <w:r>
              <w:rPr>
                <w:rFonts w:hint="eastAsia" w:ascii="仿宋_GB2312" w:hAnsi="仿宋_GB2312" w:eastAsia="仿宋_GB2312" w:cs="仿宋_GB2312"/>
                <w:sz w:val="21"/>
                <w:szCs w:val="20"/>
              </w:rPr>
              <w:t>1套</w:t>
            </w:r>
          </w:p>
        </w:tc>
      </w:tr>
    </w:tbl>
    <w:p w14:paraId="4C23729C">
      <w:pPr>
        <w:pStyle w:val="10"/>
        <w:ind w:firstLine="422" w:firstLineChars="200"/>
        <w:jc w:val="both"/>
        <w:rPr>
          <w:rFonts w:ascii="仿宋_GB2312" w:hAnsi="仿宋_GB2312" w:eastAsia="仿宋_GB2312" w:cs="仿宋_GB2312"/>
          <w:b/>
          <w:sz w:val="21"/>
          <w:lang w:eastAsia="zh-CN"/>
        </w:rPr>
      </w:pPr>
      <w:r>
        <w:rPr>
          <w:rFonts w:ascii="仿宋_GB2312" w:hAnsi="仿宋_GB2312" w:eastAsia="仿宋_GB2312" w:cs="仿宋_GB2312"/>
          <w:b/>
          <w:sz w:val="21"/>
          <w:lang w:eastAsia="zh-CN"/>
        </w:rPr>
        <w:t>（七）验收条件</w:t>
      </w:r>
    </w:p>
    <w:p w14:paraId="343A4228">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b/>
          <w:bCs/>
          <w:sz w:val="21"/>
        </w:rPr>
        <w:t>1.功能验收</w:t>
      </w:r>
    </w:p>
    <w:p w14:paraId="704EB976">
      <w:pPr>
        <w:pStyle w:val="10"/>
        <w:ind w:firstLine="420"/>
        <w:jc w:val="both"/>
        <w:rPr>
          <w:rFonts w:hint="default" w:ascii="仿宋_GB2312" w:hAnsi="仿宋_GB2312" w:eastAsia="仿宋_GB2312" w:cs="仿宋_GB2312"/>
          <w:sz w:val="21"/>
          <w:lang w:eastAsia="zh-CN"/>
        </w:rPr>
      </w:pPr>
      <w:r>
        <w:rPr>
          <w:rFonts w:ascii="仿宋_GB2312" w:hAnsi="仿宋_GB2312" w:eastAsia="仿宋_GB2312" w:cs="仿宋_GB2312"/>
          <w:sz w:val="21"/>
        </w:rPr>
        <w:t>项目验收时应能通过输入违法行为、法规名称或关键词，查询到相关法规条款、裁量阶次、处罚额度区间及来源依据；选择典型违法行为后，系统应能展示其对应的法规条款、裁量阶次和处罚额度关联关系；通过文字提问获得带法规条款和案例来源的回答。系统输出内容作为执法辅助参考，最终违法行为定性、裁量阶次选择和处罚决定由执法人员依法复核确认。</w:t>
      </w:r>
    </w:p>
    <w:p w14:paraId="4E00DFBC">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2.性能验收</w:t>
      </w:r>
    </w:p>
    <w:p w14:paraId="19B5605F">
      <w:pPr>
        <w:pStyle w:val="10"/>
        <w:ind w:firstLine="420"/>
        <w:jc w:val="both"/>
        <w:rPr>
          <w:rFonts w:ascii="仿宋_GB2312" w:hAnsi="仿宋_GB2312" w:eastAsia="仿宋_GB2312" w:cs="仿宋_GB2312"/>
          <w:sz w:val="21"/>
        </w:rPr>
      </w:pPr>
      <w:r>
        <w:rPr>
          <w:rFonts w:ascii="仿宋_GB2312" w:hAnsi="仿宋_GB2312" w:eastAsia="仿宋_GB2312" w:cs="仿宋_GB2312"/>
          <w:sz w:val="21"/>
        </w:rPr>
        <w:t>系统各项性能指标需达到</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文件技术要求中的规定标准。</w:t>
      </w:r>
    </w:p>
    <w:p w14:paraId="069C66C3">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3.文档与成果验收</w:t>
      </w:r>
    </w:p>
    <w:p w14:paraId="5E3EE1AB">
      <w:pPr>
        <w:pStyle w:val="10"/>
        <w:ind w:firstLine="420"/>
        <w:jc w:val="both"/>
        <w:rPr>
          <w:rFonts w:ascii="仿宋_GB2312" w:hAnsi="仿宋_GB2312" w:eastAsia="仿宋_GB2312" w:cs="仿宋_GB2312"/>
          <w:sz w:val="21"/>
        </w:rPr>
      </w:pP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需移交完整的系统开发过程文档及成果资料，包括但不限于：需求规格说明书、系统设计说明书（概要设计与详细设计）、数据库设计文档、接口文档、测试报告、用户操作手册及运维维护手册等。所有文档需经采购人审核确认归档。</w:t>
      </w:r>
    </w:p>
    <w:p w14:paraId="5F3DB38F">
      <w:pPr>
        <w:pStyle w:val="10"/>
        <w:ind w:firstLine="420"/>
        <w:jc w:val="both"/>
        <w:rPr>
          <w:rFonts w:ascii="仿宋_GB2312" w:hAnsi="仿宋_GB2312" w:eastAsia="仿宋_GB2312" w:cs="仿宋_GB2312"/>
          <w:sz w:val="21"/>
        </w:rPr>
      </w:pPr>
      <w:r>
        <w:rPr>
          <w:rFonts w:ascii="仿宋_GB2312" w:hAnsi="仿宋_GB2312" w:eastAsia="仿宋_GB2312" w:cs="仿宋_GB2312"/>
          <w:b/>
          <w:bCs/>
          <w:sz w:val="21"/>
        </w:rPr>
        <w:t>4.第三方测试要求</w:t>
      </w:r>
    </w:p>
    <w:p w14:paraId="399C9CE1">
      <w:pPr>
        <w:pStyle w:val="10"/>
        <w:ind w:firstLine="420"/>
        <w:jc w:val="both"/>
        <w:rPr>
          <w:rFonts w:ascii="仿宋_GB2312" w:hAnsi="仿宋_GB2312" w:eastAsia="仿宋_GB2312" w:cs="仿宋_GB2312"/>
          <w:sz w:val="21"/>
          <w:lang w:eastAsia="zh-CN"/>
        </w:rPr>
      </w:pPr>
      <w:r>
        <w:rPr>
          <w:rFonts w:ascii="仿宋_GB2312" w:hAnsi="仿宋_GB2312" w:eastAsia="仿宋_GB2312" w:cs="仿宋_GB2312"/>
          <w:sz w:val="21"/>
        </w:rPr>
        <w:t>本项目需通过具备相关资质的第三方专业软件测试机构进行的验收测试。</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需配合第三方测试机构完成功能、性能及安全测试，并出具合格的软件测试报告作为项目验收的必要依据。</w:t>
      </w:r>
    </w:p>
    <w:p w14:paraId="2C553BA3">
      <w:pPr>
        <w:pStyle w:val="10"/>
        <w:jc w:val="both"/>
        <w:outlineLvl w:val="2"/>
        <w:rPr>
          <w:rFonts w:hint="default" w:ascii="国标黑体" w:hAnsi="国标黑体" w:eastAsia="国标黑体" w:cs="国标黑体"/>
          <w:b w:val="0"/>
          <w:bCs/>
          <w:sz w:val="28"/>
        </w:rPr>
      </w:pPr>
      <w:r>
        <w:rPr>
          <w:rFonts w:hint="eastAsia" w:ascii="国标黑体" w:hAnsi="国标黑体" w:eastAsia="国标黑体" w:cs="国标黑体"/>
          <w:b w:val="0"/>
          <w:bCs/>
          <w:sz w:val="28"/>
        </w:rPr>
        <w:t>三、商务要求</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0"/>
        <w:gridCol w:w="2410"/>
        <w:gridCol w:w="5204"/>
      </w:tblGrid>
      <w:tr w14:paraId="572725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3E0326C3">
            <w:pPr>
              <w:pStyle w:val="10"/>
              <w:jc w:val="center"/>
              <w:rPr>
                <w:rFonts w:hint="default"/>
              </w:rPr>
            </w:pPr>
            <w:r>
              <w:rPr>
                <w:rFonts w:ascii="仿宋_GB2312" w:hAnsi="仿宋_GB2312" w:eastAsia="仿宋_GB2312" w:cs="仿宋_GB2312"/>
              </w:rPr>
              <w:t>序号</w:t>
            </w:r>
          </w:p>
        </w:tc>
        <w:tc>
          <w:tcPr>
            <w:tcW w:w="2410" w:type="dxa"/>
          </w:tcPr>
          <w:p w14:paraId="151E0AD6">
            <w:pPr>
              <w:pStyle w:val="10"/>
              <w:jc w:val="center"/>
              <w:rPr>
                <w:rFonts w:hint="default"/>
              </w:rPr>
            </w:pPr>
            <w:r>
              <w:rPr>
                <w:rFonts w:ascii="仿宋_GB2312" w:hAnsi="仿宋_GB2312" w:eastAsia="仿宋_GB2312" w:cs="仿宋_GB2312"/>
              </w:rPr>
              <w:t>类型</w:t>
            </w:r>
          </w:p>
        </w:tc>
        <w:tc>
          <w:tcPr>
            <w:tcW w:w="5204" w:type="dxa"/>
          </w:tcPr>
          <w:p w14:paraId="3C926485">
            <w:pPr>
              <w:pStyle w:val="10"/>
              <w:jc w:val="center"/>
              <w:rPr>
                <w:rFonts w:hint="default"/>
              </w:rPr>
            </w:pPr>
            <w:r>
              <w:rPr>
                <w:rFonts w:ascii="仿宋_GB2312" w:hAnsi="仿宋_GB2312" w:eastAsia="仿宋_GB2312" w:cs="仿宋_GB2312"/>
              </w:rPr>
              <w:t>要求</w:t>
            </w:r>
          </w:p>
        </w:tc>
      </w:tr>
      <w:tr w14:paraId="7B2997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13DD0BC8">
            <w:pPr>
              <w:pStyle w:val="10"/>
              <w:jc w:val="center"/>
              <w:rPr>
                <w:rFonts w:hint="default"/>
              </w:rPr>
            </w:pPr>
            <w:r>
              <w:rPr>
                <w:rFonts w:ascii="仿宋_GB2312" w:hAnsi="仿宋_GB2312" w:eastAsia="仿宋_GB2312" w:cs="仿宋_GB2312"/>
              </w:rPr>
              <w:t>1</w:t>
            </w:r>
          </w:p>
        </w:tc>
        <w:tc>
          <w:tcPr>
            <w:tcW w:w="2410" w:type="dxa"/>
          </w:tcPr>
          <w:p w14:paraId="4FC3D222">
            <w:pPr>
              <w:pStyle w:val="10"/>
              <w:jc w:val="center"/>
              <w:rPr>
                <w:rFonts w:hint="default"/>
              </w:rPr>
            </w:pPr>
            <w:r>
              <w:rPr>
                <w:rFonts w:ascii="仿宋_GB2312" w:hAnsi="仿宋_GB2312" w:eastAsia="仿宋_GB2312" w:cs="仿宋_GB2312"/>
              </w:rPr>
              <w:t>交货时间</w:t>
            </w:r>
          </w:p>
        </w:tc>
        <w:tc>
          <w:tcPr>
            <w:tcW w:w="5204" w:type="dxa"/>
          </w:tcPr>
          <w:p w14:paraId="26613B38">
            <w:pPr>
              <w:pStyle w:val="10"/>
              <w:jc w:val="center"/>
              <w:rPr>
                <w:rFonts w:hint="default"/>
              </w:rPr>
            </w:pPr>
            <w:r>
              <w:rPr>
                <w:rFonts w:ascii="仿宋_GB2312" w:hAnsi="仿宋_GB2312" w:eastAsia="仿宋_GB2312" w:cs="仿宋_GB2312"/>
                <w:highlight w:val="none"/>
              </w:rPr>
              <w:t>自合同签订之日起</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60日内完成整个项目交付</w:t>
            </w:r>
            <w:r>
              <w:rPr>
                <w:rFonts w:ascii="仿宋_GB2312" w:hAnsi="仿宋_GB2312" w:eastAsia="仿宋_GB2312" w:cs="仿宋_GB2312"/>
                <w:highlight w:val="none"/>
              </w:rPr>
              <w:t>。</w:t>
            </w:r>
          </w:p>
        </w:tc>
      </w:tr>
      <w:tr w14:paraId="7DA0F7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05989BC6">
            <w:pPr>
              <w:pStyle w:val="10"/>
              <w:jc w:val="center"/>
              <w:rPr>
                <w:rFonts w:hint="default"/>
              </w:rPr>
            </w:pPr>
            <w:r>
              <w:rPr>
                <w:rFonts w:ascii="仿宋_GB2312" w:hAnsi="仿宋_GB2312" w:eastAsia="仿宋_GB2312" w:cs="仿宋_GB2312"/>
              </w:rPr>
              <w:t>2</w:t>
            </w:r>
          </w:p>
        </w:tc>
        <w:tc>
          <w:tcPr>
            <w:tcW w:w="2410" w:type="dxa"/>
          </w:tcPr>
          <w:p w14:paraId="756339E7">
            <w:pPr>
              <w:pStyle w:val="10"/>
              <w:jc w:val="center"/>
              <w:rPr>
                <w:rFonts w:hint="default"/>
              </w:rPr>
            </w:pPr>
            <w:r>
              <w:rPr>
                <w:rFonts w:ascii="仿宋_GB2312" w:hAnsi="仿宋_GB2312" w:eastAsia="仿宋_GB2312" w:cs="仿宋_GB2312"/>
              </w:rPr>
              <w:t>交货地点</w:t>
            </w:r>
          </w:p>
        </w:tc>
        <w:tc>
          <w:tcPr>
            <w:tcW w:w="5204" w:type="dxa"/>
          </w:tcPr>
          <w:p w14:paraId="7AB14495">
            <w:pPr>
              <w:pStyle w:val="10"/>
              <w:jc w:val="center"/>
              <w:rPr>
                <w:rFonts w:hint="default"/>
              </w:rPr>
            </w:pPr>
            <w:r>
              <w:rPr>
                <w:rFonts w:ascii="仿宋_GB2312" w:hAnsi="仿宋_GB2312" w:eastAsia="仿宋_GB2312" w:cs="仿宋_GB2312"/>
              </w:rPr>
              <w:t>采购人指定地点。</w:t>
            </w:r>
          </w:p>
        </w:tc>
      </w:tr>
      <w:tr w14:paraId="2A6222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750" w:type="dxa"/>
          </w:tcPr>
          <w:p w14:paraId="2334545F">
            <w:pPr>
              <w:pStyle w:val="10"/>
              <w:jc w:val="center"/>
              <w:rPr>
                <w:rFonts w:hint="default"/>
              </w:rPr>
            </w:pPr>
            <w:r>
              <w:rPr>
                <w:rFonts w:ascii="仿宋_GB2312" w:hAnsi="仿宋_GB2312" w:eastAsia="仿宋_GB2312" w:cs="仿宋_GB2312"/>
              </w:rPr>
              <w:t>3</w:t>
            </w:r>
          </w:p>
        </w:tc>
        <w:tc>
          <w:tcPr>
            <w:tcW w:w="2410" w:type="dxa"/>
          </w:tcPr>
          <w:p w14:paraId="6A9D0862">
            <w:pPr>
              <w:pStyle w:val="10"/>
              <w:jc w:val="center"/>
              <w:rPr>
                <w:rFonts w:hint="default"/>
              </w:rPr>
            </w:pPr>
            <w:r>
              <w:rPr>
                <w:rFonts w:ascii="仿宋_GB2312" w:hAnsi="仿宋_GB2312" w:eastAsia="仿宋_GB2312" w:cs="仿宋_GB2312"/>
              </w:rPr>
              <w:t>交货条件</w:t>
            </w:r>
          </w:p>
        </w:tc>
        <w:tc>
          <w:tcPr>
            <w:tcW w:w="5204" w:type="dxa"/>
          </w:tcPr>
          <w:p w14:paraId="25578A52">
            <w:pPr>
              <w:pStyle w:val="10"/>
              <w:jc w:val="center"/>
              <w:rPr>
                <w:rFonts w:hint="default"/>
              </w:rPr>
            </w:pPr>
            <w:r>
              <w:rPr>
                <w:rFonts w:ascii="仿宋_GB2312" w:hAnsi="仿宋_GB2312" w:eastAsia="仿宋_GB2312" w:cs="仿宋_GB2312"/>
              </w:rPr>
              <w:t>经采购人验收合格。</w:t>
            </w:r>
          </w:p>
        </w:tc>
      </w:tr>
      <w:tr w14:paraId="7829FF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11DD5F4D">
            <w:pPr>
              <w:pStyle w:val="10"/>
              <w:jc w:val="center"/>
              <w:rPr>
                <w:rFonts w:hint="default"/>
              </w:rPr>
            </w:pPr>
            <w:r>
              <w:rPr>
                <w:rFonts w:ascii="仿宋_GB2312" w:hAnsi="仿宋_GB2312" w:eastAsia="仿宋_GB2312" w:cs="仿宋_GB2312"/>
              </w:rPr>
              <w:t>4</w:t>
            </w:r>
          </w:p>
        </w:tc>
        <w:tc>
          <w:tcPr>
            <w:tcW w:w="2410" w:type="dxa"/>
          </w:tcPr>
          <w:p w14:paraId="6293B175">
            <w:pPr>
              <w:pStyle w:val="10"/>
              <w:jc w:val="center"/>
              <w:rPr>
                <w:rFonts w:hint="default"/>
              </w:rPr>
            </w:pPr>
            <w:r>
              <w:rPr>
                <w:rFonts w:ascii="仿宋_GB2312" w:hAnsi="仿宋_GB2312" w:eastAsia="仿宋_GB2312" w:cs="仿宋_GB2312"/>
              </w:rPr>
              <w:t>是否邀请</w:t>
            </w:r>
            <w:r>
              <w:rPr>
                <w:rFonts w:hint="eastAsia" w:ascii="仿宋_GB2312" w:hAnsi="仿宋_GB2312" w:eastAsia="仿宋_GB2312" w:cs="仿宋_GB2312"/>
                <w:lang w:eastAsia="zh-CN"/>
              </w:rPr>
              <w:t>响应人</w:t>
            </w:r>
            <w:r>
              <w:rPr>
                <w:rFonts w:ascii="仿宋_GB2312" w:hAnsi="仿宋_GB2312" w:eastAsia="仿宋_GB2312" w:cs="仿宋_GB2312"/>
              </w:rPr>
              <w:t>验收</w:t>
            </w:r>
          </w:p>
        </w:tc>
        <w:tc>
          <w:tcPr>
            <w:tcW w:w="5204" w:type="dxa"/>
          </w:tcPr>
          <w:p w14:paraId="570BBBA1">
            <w:pPr>
              <w:pStyle w:val="10"/>
              <w:jc w:val="center"/>
              <w:rPr>
                <w:rFonts w:hint="default"/>
              </w:rPr>
            </w:pPr>
            <w:r>
              <w:rPr>
                <w:rFonts w:ascii="仿宋_GB2312" w:hAnsi="仿宋_GB2312" w:eastAsia="仿宋_GB2312" w:cs="仿宋_GB2312"/>
              </w:rPr>
              <w:t>不邀请</w:t>
            </w:r>
            <w:r>
              <w:rPr>
                <w:rFonts w:hint="eastAsia" w:ascii="仿宋_GB2312" w:hAnsi="仿宋_GB2312" w:eastAsia="仿宋_GB2312" w:cs="仿宋_GB2312"/>
                <w:lang w:eastAsia="zh-CN"/>
              </w:rPr>
              <w:t>响应人</w:t>
            </w:r>
            <w:r>
              <w:rPr>
                <w:rFonts w:ascii="仿宋_GB2312" w:hAnsi="仿宋_GB2312" w:eastAsia="仿宋_GB2312" w:cs="仿宋_GB2312"/>
              </w:rPr>
              <w:t>验收</w:t>
            </w:r>
          </w:p>
        </w:tc>
      </w:tr>
      <w:tr w14:paraId="2E075B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7E390708">
            <w:pPr>
              <w:pStyle w:val="10"/>
              <w:jc w:val="center"/>
              <w:rPr>
                <w:rFonts w:hint="default"/>
              </w:rPr>
            </w:pPr>
            <w:r>
              <w:rPr>
                <w:rFonts w:ascii="仿宋_GB2312" w:hAnsi="仿宋_GB2312" w:eastAsia="仿宋_GB2312" w:cs="仿宋_GB2312"/>
              </w:rPr>
              <w:t>5</w:t>
            </w:r>
          </w:p>
        </w:tc>
        <w:tc>
          <w:tcPr>
            <w:tcW w:w="2410" w:type="dxa"/>
          </w:tcPr>
          <w:p w14:paraId="7A77B600">
            <w:pPr>
              <w:pStyle w:val="10"/>
              <w:jc w:val="center"/>
              <w:rPr>
                <w:rFonts w:hint="default"/>
              </w:rPr>
            </w:pPr>
            <w:r>
              <w:rPr>
                <w:rFonts w:ascii="仿宋_GB2312" w:hAnsi="仿宋_GB2312" w:eastAsia="仿宋_GB2312" w:cs="仿宋_GB2312"/>
              </w:rPr>
              <w:t>履约验收方式</w:t>
            </w:r>
          </w:p>
        </w:tc>
        <w:tc>
          <w:tcPr>
            <w:tcW w:w="5204" w:type="dxa"/>
          </w:tcPr>
          <w:p w14:paraId="5D8E0FF7">
            <w:pPr>
              <w:pStyle w:val="10"/>
              <w:jc w:val="center"/>
              <w:rPr>
                <w:rFonts w:hint="default"/>
              </w:rPr>
            </w:pPr>
            <w:r>
              <w:rPr>
                <w:rFonts w:ascii="仿宋_GB2312" w:hAnsi="仿宋_GB2312" w:eastAsia="仿宋_GB2312" w:cs="仿宋_GB2312"/>
              </w:rPr>
              <w:t>1、期次</w:t>
            </w:r>
            <w:r>
              <w:rPr>
                <w:rFonts w:hint="eastAsia" w:ascii="仿宋_GB2312" w:hAnsi="仿宋_GB2312" w:eastAsia="仿宋_GB2312" w:cs="仿宋_GB2312"/>
                <w:lang w:val="en-US" w:eastAsia="zh-CN"/>
              </w:rPr>
              <w:t>3</w:t>
            </w:r>
            <w:r>
              <w:rPr>
                <w:rFonts w:ascii="仿宋_GB2312" w:hAnsi="仿宋_GB2312" w:eastAsia="仿宋_GB2312" w:cs="仿宋_GB2312"/>
              </w:rPr>
              <w:t>，</w:t>
            </w:r>
            <w:r>
              <w:rPr>
                <w:rFonts w:hint="eastAsia" w:ascii="仿宋_GB2312" w:hAnsi="仿宋_GB2312" w:eastAsia="仿宋_GB2312" w:cs="仿宋_GB2312"/>
                <w:lang w:eastAsia="zh-CN"/>
              </w:rPr>
              <w:t>合同验收、初步验收、竣工验收</w:t>
            </w:r>
            <w:r>
              <w:rPr>
                <w:rFonts w:ascii="仿宋_GB2312" w:hAnsi="仿宋_GB2312" w:eastAsia="仿宋_GB2312" w:cs="仿宋_GB2312"/>
              </w:rPr>
              <w:t>。</w:t>
            </w:r>
          </w:p>
        </w:tc>
      </w:tr>
      <w:tr w14:paraId="1C1B88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6B42F058">
            <w:pPr>
              <w:pStyle w:val="10"/>
              <w:jc w:val="center"/>
              <w:rPr>
                <w:rFonts w:hint="default"/>
              </w:rPr>
            </w:pPr>
            <w:r>
              <w:rPr>
                <w:rFonts w:ascii="仿宋_GB2312" w:hAnsi="仿宋_GB2312" w:eastAsia="仿宋_GB2312" w:cs="仿宋_GB2312"/>
              </w:rPr>
              <w:t>6</w:t>
            </w:r>
          </w:p>
        </w:tc>
        <w:tc>
          <w:tcPr>
            <w:tcW w:w="2410" w:type="dxa"/>
          </w:tcPr>
          <w:p w14:paraId="07EE5B53">
            <w:pPr>
              <w:pStyle w:val="10"/>
              <w:jc w:val="center"/>
              <w:rPr>
                <w:rFonts w:hint="default"/>
              </w:rPr>
            </w:pPr>
            <w:r>
              <w:rPr>
                <w:rFonts w:ascii="仿宋_GB2312" w:hAnsi="仿宋_GB2312" w:eastAsia="仿宋_GB2312" w:cs="仿宋_GB2312"/>
              </w:rPr>
              <w:t>合同支付方式</w:t>
            </w:r>
          </w:p>
        </w:tc>
        <w:tc>
          <w:tcPr>
            <w:tcW w:w="5204" w:type="dxa"/>
            <w:vAlign w:val="top"/>
          </w:tcPr>
          <w:p w14:paraId="76821E43">
            <w:pPr>
              <w:pStyle w:val="10"/>
              <w:numPr>
                <w:ilvl w:val="0"/>
                <w:numId w:val="0"/>
              </w:numPr>
              <w:jc w:val="both"/>
              <w:rPr>
                <w:rFonts w:ascii="仿宋_GB2312" w:hAnsi="仿宋_GB2312" w:eastAsia="仿宋_GB2312" w:cs="仿宋_GB2312"/>
              </w:rPr>
            </w:pPr>
            <w:r>
              <w:rPr>
                <w:rFonts w:hint="eastAsia" w:ascii="仿宋_GB2312" w:hAnsi="仿宋_GB2312" w:eastAsia="仿宋_GB2312" w:cs="仿宋_GB2312"/>
                <w:lang w:val="en-US" w:eastAsia="zh-CN"/>
              </w:rPr>
              <w:t>1、</w:t>
            </w:r>
            <w:r>
              <w:rPr>
                <w:rFonts w:ascii="仿宋_GB2312" w:hAnsi="仿宋_GB2312" w:eastAsia="仿宋_GB2312" w:cs="仿宋_GB2312"/>
              </w:rPr>
              <w:t>签订合同后，采购人可要求</w:t>
            </w:r>
            <w:r>
              <w:rPr>
                <w:rFonts w:hint="eastAsia" w:ascii="仿宋_GB2312" w:hAnsi="仿宋_GB2312" w:eastAsia="仿宋_GB2312" w:cs="仿宋_GB2312"/>
                <w:lang w:eastAsia="zh-CN"/>
              </w:rPr>
              <w:t>供应商</w:t>
            </w:r>
            <w:r>
              <w:rPr>
                <w:rFonts w:ascii="仿宋_GB2312" w:hAnsi="仿宋_GB2312" w:eastAsia="仿宋_GB2312" w:cs="仿宋_GB2312"/>
              </w:rPr>
              <w:t>至采购人指定的银行开立三方共管账户（开户所需费用及银行相关业务服务费用由</w:t>
            </w:r>
            <w:r>
              <w:rPr>
                <w:rFonts w:hint="eastAsia" w:ascii="仿宋_GB2312" w:hAnsi="仿宋_GB2312" w:eastAsia="仿宋_GB2312" w:cs="仿宋_GB2312"/>
                <w:lang w:eastAsia="zh-CN"/>
              </w:rPr>
              <w:t>供应商</w:t>
            </w:r>
            <w:r>
              <w:rPr>
                <w:rFonts w:ascii="仿宋_GB2312" w:hAnsi="仿宋_GB2312" w:eastAsia="仿宋_GB2312" w:cs="仿宋_GB2312"/>
              </w:rPr>
              <w:t>承担），在收到</w:t>
            </w:r>
            <w:r>
              <w:rPr>
                <w:rFonts w:hint="eastAsia" w:ascii="仿宋_GB2312" w:hAnsi="仿宋_GB2312" w:eastAsia="仿宋_GB2312" w:cs="仿宋_GB2312"/>
                <w:lang w:eastAsia="zh-CN"/>
              </w:rPr>
              <w:t>供应商</w:t>
            </w:r>
            <w:r>
              <w:rPr>
                <w:rFonts w:ascii="仿宋_GB2312" w:hAnsi="仿宋_GB2312" w:eastAsia="仿宋_GB2312" w:cs="仿宋_GB2312"/>
              </w:rPr>
              <w:t>提供的合同全额发票后采购人将合同约定金额支付至三方共管账户。后续由监管银行按照三方签订的资金监管协议要求，依采购人指令，按合同进度适时付款。（三方共管账户是否开立及该条款是否实施，可根据项目具体进度和采购人工作安排，采购人拥有最终解释权。）</w:t>
            </w:r>
          </w:p>
          <w:p w14:paraId="5E322A29">
            <w:pPr>
              <w:pStyle w:val="10"/>
              <w:numPr>
                <w:ilvl w:val="0"/>
                <w:numId w:val="0"/>
              </w:numPr>
              <w:jc w:val="both"/>
              <w:rPr>
                <w:rFonts w:hint="eastAsia" w:eastAsia="仿宋_GB2312"/>
                <w:highlight w:val="none"/>
                <w:lang w:eastAsia="zh-CN"/>
              </w:rPr>
            </w:pPr>
            <w:r>
              <w:rPr>
                <w:rFonts w:hint="eastAsia" w:ascii="仿宋_GB2312" w:hAnsi="仿宋_GB2312" w:eastAsia="仿宋_GB2312" w:cs="仿宋_GB2312"/>
                <w:highlight w:val="none"/>
                <w:lang w:val="en-US" w:eastAsia="zh-CN"/>
              </w:rPr>
              <w:t>2、合同验收</w:t>
            </w:r>
            <w:r>
              <w:rPr>
                <w:rFonts w:hint="eastAsia" w:ascii="仿宋_GB2312" w:hAnsi="仿宋_GB2312" w:eastAsia="仿宋_GB2312" w:cs="仿宋_GB2312"/>
                <w:highlight w:val="none"/>
                <w:lang w:eastAsia="zh-CN"/>
              </w:rPr>
              <w:t>完成后，</w:t>
            </w:r>
            <w:r>
              <w:rPr>
                <w:rFonts w:ascii="仿宋_GB2312" w:hAnsi="仿宋_GB2312" w:eastAsia="仿宋_GB2312" w:cs="仿宋_GB2312"/>
                <w:highlight w:val="none"/>
              </w:rPr>
              <w:t>达到付款条件起30日内，支付合同总金额的</w:t>
            </w:r>
            <w:r>
              <w:rPr>
                <w:rFonts w:hint="eastAsia" w:ascii="仿宋_GB2312" w:hAnsi="仿宋_GB2312" w:eastAsia="仿宋_GB2312" w:cs="仿宋_GB2312"/>
                <w:highlight w:val="none"/>
                <w:lang w:val="en-US" w:eastAsia="zh-CN"/>
              </w:rPr>
              <w:t>5</w:t>
            </w:r>
            <w:r>
              <w:rPr>
                <w:rFonts w:ascii="仿宋_GB2312" w:hAnsi="仿宋_GB2312" w:eastAsia="仿宋_GB2312" w:cs="仿宋_GB2312"/>
                <w:highlight w:val="none"/>
              </w:rPr>
              <w:t>0.00%</w:t>
            </w:r>
          </w:p>
          <w:p w14:paraId="458861C4">
            <w:pPr>
              <w:pStyle w:val="10"/>
              <w:jc w:val="both"/>
              <w:rPr>
                <w:rFonts w:hint="default"/>
              </w:rPr>
            </w:pP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竣工验收完成，达到付款条件起30日内，支付合同总金额的</w:t>
            </w:r>
            <w:r>
              <w:rPr>
                <w:rFonts w:hint="eastAsia" w:ascii="仿宋_GB2312" w:hAnsi="仿宋_GB2312" w:eastAsia="仿宋_GB2312" w:cs="仿宋_GB2312"/>
                <w:highlight w:val="none"/>
                <w:lang w:val="en-US" w:eastAsia="zh-CN"/>
              </w:rPr>
              <w:t>5</w:t>
            </w:r>
            <w:r>
              <w:rPr>
                <w:rFonts w:ascii="仿宋_GB2312" w:hAnsi="仿宋_GB2312" w:eastAsia="仿宋_GB2312" w:cs="仿宋_GB2312"/>
                <w:highlight w:val="none"/>
              </w:rPr>
              <w:t>0.00%</w:t>
            </w:r>
          </w:p>
        </w:tc>
      </w:tr>
      <w:tr w14:paraId="7A8EA6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750" w:type="dxa"/>
          </w:tcPr>
          <w:p w14:paraId="6760B513">
            <w:pPr>
              <w:pStyle w:val="10"/>
              <w:jc w:val="center"/>
              <w:rPr>
                <w:rFonts w:hint="default"/>
              </w:rPr>
            </w:pPr>
            <w:r>
              <w:rPr>
                <w:rFonts w:ascii="仿宋_GB2312" w:hAnsi="仿宋_GB2312" w:eastAsia="仿宋_GB2312" w:cs="仿宋_GB2312"/>
              </w:rPr>
              <w:t>7</w:t>
            </w:r>
          </w:p>
        </w:tc>
        <w:tc>
          <w:tcPr>
            <w:tcW w:w="2410" w:type="dxa"/>
          </w:tcPr>
          <w:p w14:paraId="651F14E9">
            <w:pPr>
              <w:pStyle w:val="10"/>
              <w:jc w:val="center"/>
              <w:rPr>
                <w:rFonts w:hint="default"/>
              </w:rPr>
            </w:pPr>
            <w:r>
              <w:rPr>
                <w:rFonts w:ascii="仿宋_GB2312" w:hAnsi="仿宋_GB2312" w:eastAsia="仿宋_GB2312" w:cs="仿宋_GB2312"/>
              </w:rPr>
              <w:t>履约保证金</w:t>
            </w:r>
          </w:p>
        </w:tc>
        <w:tc>
          <w:tcPr>
            <w:tcW w:w="5204" w:type="dxa"/>
          </w:tcPr>
          <w:p w14:paraId="589C2D9C">
            <w:pPr>
              <w:pStyle w:val="10"/>
              <w:jc w:val="center"/>
              <w:rPr>
                <w:rFonts w:hint="default"/>
              </w:rPr>
            </w:pPr>
            <w:r>
              <w:rPr>
                <w:rFonts w:ascii="仿宋_GB2312" w:hAnsi="仿宋_GB2312" w:eastAsia="仿宋_GB2312" w:cs="仿宋_GB2312"/>
              </w:rPr>
              <w:t>无</w:t>
            </w:r>
          </w:p>
        </w:tc>
      </w:tr>
    </w:tbl>
    <w:p w14:paraId="16522800">
      <w:pPr>
        <w:pStyle w:val="10"/>
        <w:spacing w:before="105" w:after="105"/>
        <w:ind w:firstLine="422"/>
        <w:rPr>
          <w:rFonts w:hint="default"/>
        </w:rPr>
      </w:pPr>
      <w:r>
        <w:rPr>
          <w:rFonts w:ascii="仿宋_GB2312" w:hAnsi="仿宋_GB2312" w:eastAsia="仿宋_GB2312" w:cs="仿宋_GB2312"/>
          <w:b/>
          <w:sz w:val="21"/>
        </w:rPr>
        <w:t>8.其他商务要求</w:t>
      </w:r>
    </w:p>
    <w:p w14:paraId="68D54690">
      <w:pPr>
        <w:pStyle w:val="10"/>
        <w:spacing w:before="105" w:after="105"/>
        <w:ind w:firstLine="480"/>
        <w:rPr>
          <w:rFonts w:hint="default"/>
        </w:rPr>
      </w:pPr>
      <w:r>
        <w:rPr>
          <w:rFonts w:ascii="仿宋_GB2312" w:hAnsi="仿宋_GB2312" w:eastAsia="仿宋_GB2312" w:cs="仿宋_GB2312"/>
          <w:sz w:val="21"/>
          <w:lang w:eastAsia="zh-CN"/>
        </w:rPr>
        <w:t>（1）</w:t>
      </w:r>
      <w:r>
        <w:rPr>
          <w:rFonts w:ascii="仿宋_GB2312" w:hAnsi="仿宋_GB2312" w:eastAsia="仿宋_GB2312" w:cs="仿宋_GB2312"/>
          <w:sz w:val="21"/>
        </w:rPr>
        <w:t>项目实施要求</w:t>
      </w:r>
    </w:p>
    <w:p w14:paraId="14E4897C">
      <w:pPr>
        <w:pStyle w:val="10"/>
        <w:spacing w:before="105" w:after="105"/>
        <w:ind w:firstLine="480"/>
        <w:jc w:val="both"/>
        <w:rPr>
          <w:rFonts w:ascii="仿宋_GB2312" w:hAnsi="仿宋_GB2312" w:eastAsia="仿宋_GB2312" w:cs="仿宋_GB2312"/>
          <w:sz w:val="21"/>
        </w:rPr>
      </w:pPr>
      <w:r>
        <w:rPr>
          <w:rFonts w:ascii="仿宋_GB2312" w:hAnsi="仿宋_GB2312" w:eastAsia="仿宋_GB2312" w:cs="仿宋_GB2312"/>
          <w:sz w:val="21"/>
        </w:rPr>
        <w:t>①</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针对本标包项目专门建立一个完善和稳定的管理组织机构，服务人员数量不少于4人（含项目负责人），具有稳定的项目负责人，其中必须包括一名专职负责的项目负责人，该项目负责人需具备信息化或无线电相关的高级证书，具有较强的项目执行能力，能够统筹安排人员、资金、进度等，对项目的实施完成更具保障能力，其他专职技术人员需具备信息化或无线电相关的中级及以上职称，拥有扎实的项目实施能力，以确保项目顺利交付。②在本项目实施期间，</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如中途更换项目负责人，必须征得采购人同意。</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必须无条件接受采购人的监督检查，并承担人力不足、人员不到位所导致的相关质量、进度等违约责任。</w:t>
      </w:r>
    </w:p>
    <w:p w14:paraId="1E7B12FF">
      <w:pPr>
        <w:pStyle w:val="10"/>
        <w:spacing w:before="105" w:after="105"/>
        <w:ind w:firstLine="480"/>
        <w:jc w:val="both"/>
        <w:rPr>
          <w:rFonts w:ascii="仿宋_GB2312" w:hAnsi="仿宋_GB2312" w:eastAsia="仿宋_GB2312" w:cs="仿宋_GB2312"/>
          <w:sz w:val="21"/>
        </w:rPr>
      </w:pPr>
      <w:r>
        <w:rPr>
          <w:rFonts w:ascii="仿宋_GB2312" w:hAnsi="仿宋_GB2312" w:eastAsia="仿宋_GB2312" w:cs="仿宋_GB2312"/>
          <w:sz w:val="21"/>
        </w:rPr>
        <w:t>③对</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在本标包项目实施过程中出现资源、进度、质量协调控制不力的情况，采购人有权要求更换相关项目人员，</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必须予以配合，并确保不影响项目建设的进度和质量。</w:t>
      </w:r>
    </w:p>
    <w:p w14:paraId="729475E8">
      <w:pPr>
        <w:pStyle w:val="10"/>
        <w:spacing w:before="105" w:after="105"/>
        <w:ind w:firstLine="480"/>
        <w:jc w:val="both"/>
        <w:rPr>
          <w:rFonts w:hint="default"/>
          <w:highlight w:val="none"/>
        </w:rPr>
      </w:pPr>
      <w:r>
        <w:rPr>
          <w:rFonts w:ascii="仿宋_GB2312" w:hAnsi="仿宋_GB2312" w:eastAsia="仿宋_GB2312" w:cs="仿宋_GB2312"/>
          <w:sz w:val="21"/>
          <w:highlight w:val="none"/>
        </w:rPr>
        <w:t>④自合同签订之日起</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60日内完成整个项目交付</w:t>
      </w:r>
      <w:r>
        <w:rPr>
          <w:rFonts w:hint="eastAsia" w:ascii="仿宋_GB2312" w:hAnsi="仿宋_GB2312" w:eastAsia="仿宋_GB2312" w:cs="仿宋_GB2312"/>
          <w:sz w:val="21"/>
          <w:highlight w:val="none"/>
          <w:lang w:val="en-US" w:eastAsia="zh-CN"/>
        </w:rPr>
        <w:t>并通过竣工验收</w:t>
      </w:r>
      <w:r>
        <w:rPr>
          <w:rFonts w:ascii="仿宋_GB2312" w:hAnsi="仿宋_GB2312" w:eastAsia="仿宋_GB2312" w:cs="仿宋_GB2312"/>
          <w:sz w:val="21"/>
          <w:highlight w:val="none"/>
        </w:rPr>
        <w:t>，因</w:t>
      </w:r>
      <w:r>
        <w:rPr>
          <w:rFonts w:hint="eastAsia" w:ascii="仿宋_GB2312" w:hAnsi="仿宋_GB2312" w:eastAsia="仿宋_GB2312" w:cs="仿宋_GB2312"/>
          <w:sz w:val="21"/>
          <w:highlight w:val="none"/>
          <w:lang w:eastAsia="zh-CN"/>
        </w:rPr>
        <w:t>供应商</w:t>
      </w:r>
      <w:r>
        <w:rPr>
          <w:rFonts w:ascii="仿宋_GB2312" w:hAnsi="仿宋_GB2312" w:eastAsia="仿宋_GB2312" w:cs="仿宋_GB2312"/>
          <w:sz w:val="21"/>
          <w:highlight w:val="none"/>
        </w:rPr>
        <w:t>原因逾期通过验收的，每逾期一天，按合同价格的千分之五偿付违约金，超过约定期限30个自然日未能按要求完成验收的（不可抗力因素除外），采购人有权单方面解除本合同，</w:t>
      </w:r>
      <w:r>
        <w:rPr>
          <w:rFonts w:hint="eastAsia" w:ascii="仿宋_GB2312" w:hAnsi="仿宋_GB2312" w:eastAsia="仿宋_GB2312" w:cs="仿宋_GB2312"/>
          <w:sz w:val="21"/>
          <w:highlight w:val="none"/>
          <w:lang w:eastAsia="zh-CN"/>
        </w:rPr>
        <w:t>供应商</w:t>
      </w:r>
      <w:r>
        <w:rPr>
          <w:rFonts w:ascii="仿宋_GB2312" w:hAnsi="仿宋_GB2312" w:eastAsia="仿宋_GB2312" w:cs="仿宋_GB2312"/>
          <w:sz w:val="21"/>
          <w:highlight w:val="none"/>
        </w:rPr>
        <w:t>应向采购人支付合同总价款的20%作为违约金，若因此给采购人造成损失的，还应赔偿采购人所有损失。</w:t>
      </w:r>
    </w:p>
    <w:p w14:paraId="447C4B1A">
      <w:pPr>
        <w:pStyle w:val="10"/>
        <w:spacing w:before="105" w:after="105"/>
        <w:ind w:firstLine="480"/>
        <w:jc w:val="both"/>
        <w:rPr>
          <w:rFonts w:hint="default"/>
        </w:rPr>
      </w:pPr>
      <w:r>
        <w:rPr>
          <w:rFonts w:ascii="仿宋_GB2312" w:hAnsi="仿宋_GB2312" w:eastAsia="仿宋_GB2312" w:cs="仿宋_GB2312"/>
          <w:sz w:val="21"/>
          <w:lang w:eastAsia="zh-CN"/>
        </w:rPr>
        <w:t>（2）</w:t>
      </w:r>
      <w:r>
        <w:rPr>
          <w:rFonts w:ascii="仿宋_GB2312" w:hAnsi="仿宋_GB2312" w:eastAsia="仿宋_GB2312" w:cs="仿宋_GB2312"/>
          <w:sz w:val="21"/>
        </w:rPr>
        <w:t>培训：要求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提供培训服务及培训计划；</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应负责免费对采购人技术人员提供全面培训，使采购人的技术人员能独立进行操作和管理。</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负责提供给培训人员实际的操作环境、培训资料</w:t>
      </w:r>
      <w:r>
        <w:rPr>
          <w:rFonts w:ascii="仿宋_GB2312" w:hAnsi="仿宋_GB2312" w:eastAsia="仿宋_GB2312" w:cs="仿宋_GB2312"/>
          <w:sz w:val="21"/>
          <w:lang w:eastAsia="zh-CN"/>
        </w:rPr>
        <w:t>（</w:t>
      </w:r>
      <w:r>
        <w:rPr>
          <w:rFonts w:ascii="仿宋_GB2312" w:hAnsi="仿宋_GB2312" w:eastAsia="仿宋_GB2312" w:cs="仿宋_GB2312"/>
          <w:sz w:val="21"/>
        </w:rPr>
        <w:t>如电子文档和纸面文档，中文版本，文件格式为DOC 格式文档或 PDF 格式文档或其他可视化文件等</w:t>
      </w:r>
      <w:r>
        <w:rPr>
          <w:rFonts w:ascii="仿宋_GB2312" w:hAnsi="仿宋_GB2312" w:eastAsia="仿宋_GB2312" w:cs="仿宋_GB2312"/>
          <w:sz w:val="21"/>
          <w:lang w:eastAsia="zh-CN"/>
        </w:rPr>
        <w:t>）</w:t>
      </w:r>
      <w:r>
        <w:rPr>
          <w:rFonts w:ascii="仿宋_GB2312" w:hAnsi="仿宋_GB2312" w:eastAsia="仿宋_GB2312" w:cs="仿宋_GB2312"/>
          <w:sz w:val="21"/>
        </w:rPr>
        <w:t>和相应的培训师资。</w:t>
      </w:r>
    </w:p>
    <w:p w14:paraId="6F5A0E2B">
      <w:pPr>
        <w:pStyle w:val="10"/>
        <w:spacing w:before="105" w:after="105"/>
        <w:ind w:firstLine="480"/>
        <w:jc w:val="both"/>
        <w:rPr>
          <w:rFonts w:hint="default"/>
        </w:rPr>
      </w:pPr>
      <w:r>
        <w:rPr>
          <w:rFonts w:ascii="仿宋_GB2312" w:hAnsi="仿宋_GB2312" w:eastAsia="仿宋_GB2312" w:cs="仿宋_GB2312"/>
          <w:sz w:val="21"/>
          <w:lang w:eastAsia="zh-CN"/>
        </w:rPr>
        <w:t>（3）</w:t>
      </w:r>
      <w:r>
        <w:rPr>
          <w:rFonts w:ascii="仿宋_GB2312" w:hAnsi="仿宋_GB2312" w:eastAsia="仿宋_GB2312" w:cs="仿宋_GB2312"/>
          <w:sz w:val="21"/>
        </w:rPr>
        <w:t>质量保证期和售后服务</w:t>
      </w:r>
    </w:p>
    <w:p w14:paraId="6CDE6CC6">
      <w:pPr>
        <w:pStyle w:val="10"/>
        <w:spacing w:before="105" w:after="105"/>
        <w:ind w:firstLine="480"/>
        <w:jc w:val="both"/>
        <w:rPr>
          <w:rFonts w:hint="default"/>
        </w:rPr>
      </w:pPr>
      <w:r>
        <w:rPr>
          <w:rFonts w:ascii="仿宋_GB2312" w:hAnsi="仿宋_GB2312" w:eastAsia="仿宋_GB2312" w:cs="仿宋_GB2312"/>
          <w:sz w:val="21"/>
        </w:rPr>
        <w:t>①本项目质保期：</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应按照</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文件的要求和投标文件的承诺提供合格的产品，产品质保期为36个月</w:t>
      </w:r>
      <w:r>
        <w:rPr>
          <w:rFonts w:ascii="仿宋_GB2312" w:hAnsi="仿宋_GB2312" w:eastAsia="仿宋_GB2312" w:cs="仿宋_GB2312"/>
          <w:sz w:val="21"/>
          <w:lang w:eastAsia="zh-CN"/>
        </w:rPr>
        <w:t>（</w:t>
      </w:r>
      <w:r>
        <w:rPr>
          <w:rFonts w:ascii="仿宋_GB2312" w:hAnsi="仿宋_GB2312" w:eastAsia="仿宋_GB2312" w:cs="仿宋_GB2312"/>
          <w:sz w:val="21"/>
        </w:rPr>
        <w:t>自竣工验收之日起计算，若</w:t>
      </w:r>
      <w:r>
        <w:rPr>
          <w:rFonts w:hint="eastAsia" w:ascii="仿宋_GB2312" w:hAnsi="仿宋_GB2312" w:eastAsia="仿宋_GB2312" w:cs="仿宋_GB2312"/>
          <w:sz w:val="21"/>
          <w:lang w:eastAsia="zh-CN"/>
        </w:rPr>
        <w:t>响应人</w:t>
      </w:r>
      <w:r>
        <w:rPr>
          <w:rFonts w:ascii="仿宋_GB2312" w:hAnsi="仿宋_GB2312" w:eastAsia="仿宋_GB2312" w:cs="仿宋_GB2312"/>
          <w:sz w:val="21"/>
        </w:rPr>
        <w:t>在其投标文件中对质保期有更长的承诺时限的，则质保期依从其投标文件中的承诺时限</w:t>
      </w:r>
      <w:r>
        <w:rPr>
          <w:rFonts w:ascii="仿宋_GB2312" w:hAnsi="仿宋_GB2312" w:eastAsia="仿宋_GB2312" w:cs="仿宋_GB2312"/>
          <w:sz w:val="21"/>
          <w:lang w:eastAsia="zh-CN"/>
        </w:rPr>
        <w:t>）</w:t>
      </w:r>
      <w:r>
        <w:rPr>
          <w:rFonts w:ascii="仿宋_GB2312" w:hAnsi="仿宋_GB2312" w:eastAsia="仿宋_GB2312" w:cs="仿宋_GB2312"/>
          <w:sz w:val="21"/>
        </w:rPr>
        <w:t>。质保期内，</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必须按照合同条款提供质保服务。质保期内，</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免费处理原验收范围内的软件缺陷、安全漏洞、配置问题和兼容性问题，并提供必要的安全补丁和维护版本。因新增法律政策、标准规范、外部平台接口或者业务需求导致的实质性新增功能、流程重构或大规模适配，不纳入免费质保范围，按照项目变更程序另行评估工作量、费用和工期。</w:t>
      </w:r>
    </w:p>
    <w:p w14:paraId="2BFFCA2A">
      <w:pPr>
        <w:pStyle w:val="10"/>
        <w:spacing w:before="105" w:after="105"/>
        <w:ind w:firstLine="480"/>
        <w:jc w:val="both"/>
        <w:rPr>
          <w:rFonts w:hint="default"/>
        </w:rPr>
      </w:pPr>
      <w:r>
        <w:rPr>
          <w:rFonts w:ascii="仿宋_GB2312" w:hAnsi="仿宋_GB2312" w:eastAsia="仿宋_GB2312" w:cs="仿宋_GB2312"/>
          <w:sz w:val="21"/>
        </w:rPr>
        <w:t>②质保期内，</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必须提供免费上门维保服务，要求提供7*24小时维保技术支持，2小时内响应，遇到故障</w:t>
      </w:r>
      <w:r>
        <w:rPr>
          <w:rFonts w:hint="eastAsia" w:ascii="仿宋_GB2312" w:hAnsi="仿宋_GB2312" w:eastAsia="仿宋_GB2312" w:cs="仿宋_GB2312"/>
          <w:sz w:val="21"/>
          <w:lang w:val="en-US" w:eastAsia="zh-CN"/>
        </w:rPr>
        <w:t>24</w:t>
      </w:r>
      <w:r>
        <w:rPr>
          <w:rFonts w:ascii="仿宋_GB2312" w:hAnsi="仿宋_GB2312" w:eastAsia="仿宋_GB2312" w:cs="仿宋_GB2312"/>
          <w:sz w:val="21"/>
        </w:rPr>
        <w:t>小时内到达现场，</w:t>
      </w:r>
      <w:r>
        <w:rPr>
          <w:rFonts w:hint="eastAsia" w:ascii="仿宋_GB2312" w:hAnsi="仿宋_GB2312" w:eastAsia="仿宋_GB2312" w:cs="仿宋_GB2312"/>
          <w:sz w:val="21"/>
        </w:rPr>
        <w:t>故障排除时间根据故障原因确定</w:t>
      </w:r>
      <w:r>
        <w:rPr>
          <w:rFonts w:ascii="仿宋_GB2312" w:hAnsi="仿宋_GB2312" w:eastAsia="仿宋_GB2312" w:cs="仿宋_GB2312"/>
          <w:sz w:val="21"/>
          <w:lang w:eastAsia="zh-CN"/>
        </w:rPr>
        <w:t>。</w:t>
      </w:r>
      <w:r>
        <w:rPr>
          <w:rFonts w:ascii="仿宋_GB2312" w:hAnsi="仿宋_GB2312" w:eastAsia="仿宋_GB2312" w:cs="仿宋_GB2312"/>
          <w:sz w:val="21"/>
        </w:rPr>
        <w:t>因采购人网络、安全设备、第三方平台、不可抗力或未经</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实施的变更导致的故障，不计入</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故障处理违约责任，但</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应配合定位。</w:t>
      </w:r>
    </w:p>
    <w:p w14:paraId="0EFB65D5">
      <w:pPr>
        <w:pStyle w:val="10"/>
        <w:spacing w:before="105" w:after="105"/>
        <w:ind w:firstLine="480"/>
        <w:jc w:val="both"/>
        <w:rPr>
          <w:rFonts w:hint="default"/>
        </w:rPr>
      </w:pPr>
      <w:r>
        <w:rPr>
          <w:rFonts w:ascii="仿宋_GB2312" w:hAnsi="仿宋_GB2312" w:eastAsia="仿宋_GB2312" w:cs="仿宋_GB2312"/>
          <w:sz w:val="21"/>
        </w:rPr>
        <w:t>③竣工验收完成次日起3个月内，</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安排现场驻点运维人员在采购人指定的省内地点，负责保障系统的正常运行并协调技术人员做好功能完善优化工作。驻场运维结束前，应向采购人确认完成所有系统功能优化维护工作，否则驻场运维顺延至相关工作完成并经甲方书面确认之日。</w:t>
      </w:r>
    </w:p>
    <w:p w14:paraId="5D7E552C">
      <w:pPr>
        <w:pStyle w:val="10"/>
        <w:spacing w:before="105" w:after="105"/>
        <w:ind w:firstLine="480"/>
        <w:jc w:val="both"/>
        <w:rPr>
          <w:rFonts w:hint="default"/>
        </w:rPr>
      </w:pPr>
      <w:r>
        <w:rPr>
          <w:rFonts w:ascii="仿宋_GB2312" w:hAnsi="仿宋_GB2312" w:eastAsia="仿宋_GB2312" w:cs="仿宋_GB2312"/>
          <w:sz w:val="21"/>
        </w:rPr>
        <w:t>④</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应配合采购人开展项目绩效评价及审计等相关工作，且不受合同期限限制。</w:t>
      </w:r>
    </w:p>
    <w:p w14:paraId="52966D0C">
      <w:pPr>
        <w:pStyle w:val="10"/>
        <w:spacing w:before="105" w:after="105"/>
        <w:ind w:firstLine="480"/>
        <w:jc w:val="both"/>
        <w:rPr>
          <w:rFonts w:hint="default"/>
        </w:rPr>
      </w:pPr>
      <w:r>
        <w:rPr>
          <w:rFonts w:ascii="仿宋_GB2312" w:hAnsi="仿宋_GB2312" w:eastAsia="仿宋_GB2312" w:cs="仿宋_GB2312"/>
          <w:sz w:val="21"/>
          <w:lang w:eastAsia="zh-CN"/>
        </w:rPr>
        <w:t>（4）</w:t>
      </w:r>
      <w:r>
        <w:rPr>
          <w:rFonts w:ascii="仿宋_GB2312" w:hAnsi="仿宋_GB2312" w:eastAsia="仿宋_GB2312" w:cs="仿宋_GB2312"/>
          <w:sz w:val="21"/>
        </w:rPr>
        <w:t>因验收所产生的一切费用由</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承担，包括但不限于因聘请第三方专业机构及专家而产生的劳务费、住宿费等；</w:t>
      </w:r>
    </w:p>
    <w:p w14:paraId="6FE24D0F">
      <w:pPr>
        <w:pStyle w:val="10"/>
        <w:spacing w:before="105" w:after="105"/>
        <w:ind w:firstLine="480"/>
        <w:jc w:val="both"/>
        <w:rPr>
          <w:rFonts w:hint="default"/>
        </w:rPr>
      </w:pPr>
      <w:r>
        <w:rPr>
          <w:rFonts w:ascii="仿宋_GB2312" w:hAnsi="仿宋_GB2312" w:eastAsia="仿宋_GB2312" w:cs="仿宋_GB2312"/>
          <w:sz w:val="21"/>
          <w:lang w:eastAsia="zh-CN"/>
        </w:rPr>
        <w:t>（5）</w:t>
      </w:r>
      <w:r>
        <w:rPr>
          <w:rFonts w:ascii="仿宋_GB2312" w:hAnsi="仿宋_GB2312" w:eastAsia="仿宋_GB2312" w:cs="仿宋_GB2312"/>
          <w:sz w:val="21"/>
        </w:rPr>
        <w:t>审计要求。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须提供本采购项目中各子项目符合相关财政纪律规定的独立财务决算审计报告或承担相应费用，所形成财务决算审计报告为竣工验收必备文件。</w:t>
      </w:r>
    </w:p>
    <w:p w14:paraId="57B32146">
      <w:pPr>
        <w:pStyle w:val="10"/>
        <w:ind w:firstLine="420"/>
        <w:jc w:val="both"/>
        <w:rPr>
          <w:rFonts w:hint="default"/>
        </w:rPr>
      </w:pPr>
      <w:r>
        <w:rPr>
          <w:rFonts w:ascii="仿宋_GB2312" w:hAnsi="仿宋_GB2312" w:eastAsia="仿宋_GB2312" w:cs="仿宋_GB2312"/>
          <w:sz w:val="21"/>
          <w:lang w:eastAsia="zh-CN"/>
        </w:rPr>
        <w:t>（6）</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应在</w:t>
      </w:r>
      <w:r>
        <w:rPr>
          <w:rFonts w:hint="default" w:ascii="仿宋_GB2312" w:hAnsi="仿宋_GB2312" w:eastAsia="仿宋_GB2312" w:cs="仿宋_GB2312"/>
          <w:sz w:val="21"/>
        </w:rPr>
        <w:t>36</w:t>
      </w:r>
      <w:r>
        <w:rPr>
          <w:rFonts w:ascii="仿宋_GB2312" w:hAnsi="仿宋_GB2312" w:eastAsia="仿宋_GB2312" w:cs="仿宋_GB2312"/>
          <w:sz w:val="21"/>
        </w:rPr>
        <w:t>个月质量保证期内免费提供与本项目验收范围相关的软件缺陷修复、安全补丁和兼容性维护版本。超出质量保证期或者涉及新增功能、重大架构调整、外部平台新增接口和第三方商业软件升级的，由双方另行协商。</w:t>
      </w:r>
      <w:r>
        <w:rPr>
          <w:rFonts w:hint="eastAsia" w:ascii="仿宋_GB2312" w:hAnsi="仿宋_GB2312" w:eastAsia="仿宋_GB2312" w:cs="仿宋_GB2312"/>
          <w:sz w:val="21"/>
          <w:lang w:eastAsia="zh-CN"/>
        </w:rPr>
        <w:t>响应人</w:t>
      </w:r>
      <w:r>
        <w:rPr>
          <w:rFonts w:ascii="仿宋_GB2312" w:hAnsi="仿宋_GB2312" w:eastAsia="仿宋_GB2312" w:cs="仿宋_GB2312"/>
          <w:sz w:val="21"/>
        </w:rPr>
        <w:t>应在投标文件中提供相应专项承诺函。</w:t>
      </w:r>
    </w:p>
    <w:p w14:paraId="0E1058C5">
      <w:pPr>
        <w:pStyle w:val="10"/>
        <w:spacing w:before="105" w:after="105"/>
        <w:ind w:firstLine="480"/>
        <w:jc w:val="both"/>
        <w:rPr>
          <w:rFonts w:hint="default"/>
        </w:rPr>
      </w:pPr>
      <w:r>
        <w:rPr>
          <w:rFonts w:ascii="仿宋_GB2312" w:hAnsi="仿宋_GB2312" w:eastAsia="仿宋_GB2312" w:cs="仿宋_GB2312"/>
          <w:sz w:val="21"/>
          <w:lang w:eastAsia="zh-CN"/>
        </w:rPr>
        <w:t>（7）</w:t>
      </w:r>
      <w:r>
        <w:rPr>
          <w:rFonts w:ascii="仿宋_GB2312" w:hAnsi="仿宋_GB2312" w:eastAsia="仿宋_GB2312" w:cs="仿宋_GB2312"/>
          <w:sz w:val="21"/>
        </w:rPr>
        <w:t>相关未列明确保</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履约的条款和</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违约责任条款可在编写项目合同时界定。</w:t>
      </w:r>
    </w:p>
    <w:p w14:paraId="242A24FB">
      <w:pPr>
        <w:pStyle w:val="10"/>
        <w:spacing w:before="105" w:after="105"/>
        <w:ind w:firstLine="480"/>
        <w:jc w:val="both"/>
        <w:rPr>
          <w:rFonts w:hint="default"/>
        </w:rPr>
      </w:pPr>
      <w:r>
        <w:rPr>
          <w:rFonts w:ascii="仿宋_GB2312" w:hAnsi="仿宋_GB2312" w:eastAsia="仿宋_GB2312" w:cs="仿宋_GB2312"/>
          <w:sz w:val="21"/>
          <w:lang w:eastAsia="zh-CN"/>
        </w:rPr>
        <w:t>（8）</w:t>
      </w:r>
      <w:r>
        <w:rPr>
          <w:rFonts w:ascii="仿宋_GB2312" w:hAnsi="仿宋_GB2312" w:eastAsia="仿宋_GB2312" w:cs="仿宋_GB2312"/>
          <w:sz w:val="21"/>
        </w:rPr>
        <w:t>未列明情形处理。除</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文件另有规定外，若出现有关</w:t>
      </w:r>
      <w:r>
        <w:rPr>
          <w:rFonts w:ascii="仿宋_GB2312" w:hAnsi="仿宋_GB2312" w:eastAsia="仿宋_GB2312" w:cs="仿宋_GB2312"/>
          <w:sz w:val="21"/>
          <w:lang w:eastAsia="zh-CN"/>
        </w:rPr>
        <w:t>法律法规</w:t>
      </w:r>
      <w:r>
        <w:rPr>
          <w:rFonts w:ascii="仿宋_GB2312" w:hAnsi="仿宋_GB2312" w:eastAsia="仿宋_GB2312" w:cs="仿宋_GB2312"/>
          <w:sz w:val="21"/>
        </w:rPr>
        <w:t>和规章有强制性规定但</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文件未列明的情形，则</w:t>
      </w:r>
      <w:r>
        <w:rPr>
          <w:rFonts w:hint="eastAsia" w:ascii="仿宋_GB2312" w:hAnsi="仿宋_GB2312" w:eastAsia="仿宋_GB2312" w:cs="仿宋_GB2312"/>
          <w:sz w:val="21"/>
          <w:lang w:eastAsia="zh-CN"/>
        </w:rPr>
        <w:t>响应人</w:t>
      </w:r>
      <w:r>
        <w:rPr>
          <w:rFonts w:ascii="仿宋_GB2312" w:hAnsi="仿宋_GB2312" w:eastAsia="仿宋_GB2312" w:cs="仿宋_GB2312"/>
          <w:sz w:val="21"/>
        </w:rPr>
        <w:t>应按照有关</w:t>
      </w:r>
      <w:r>
        <w:rPr>
          <w:rFonts w:ascii="仿宋_GB2312" w:hAnsi="仿宋_GB2312" w:eastAsia="仿宋_GB2312" w:cs="仿宋_GB2312"/>
          <w:sz w:val="21"/>
          <w:lang w:eastAsia="zh-CN"/>
        </w:rPr>
        <w:t>法律法规</w:t>
      </w:r>
      <w:r>
        <w:rPr>
          <w:rFonts w:ascii="仿宋_GB2312" w:hAnsi="仿宋_GB2312" w:eastAsia="仿宋_GB2312" w:cs="仿宋_GB2312"/>
          <w:sz w:val="21"/>
        </w:rPr>
        <w:t>和规章强制性规定执行。</w:t>
      </w:r>
    </w:p>
    <w:p w14:paraId="7FD9797C">
      <w:pPr>
        <w:pStyle w:val="10"/>
        <w:spacing w:before="105" w:after="105"/>
        <w:ind w:firstLine="480"/>
        <w:rPr>
          <w:rFonts w:hint="default"/>
        </w:rPr>
      </w:pPr>
      <w:r>
        <w:rPr>
          <w:rFonts w:ascii="仿宋_GB2312" w:hAnsi="仿宋_GB2312" w:eastAsia="仿宋_GB2312" w:cs="仿宋_GB2312"/>
          <w:b/>
          <w:sz w:val="21"/>
        </w:rPr>
        <w:t>9.违约责任</w:t>
      </w:r>
    </w:p>
    <w:p w14:paraId="5516951D">
      <w:pPr>
        <w:pStyle w:val="10"/>
        <w:ind w:firstLine="480"/>
        <w:rPr>
          <w:rFonts w:hint="default"/>
        </w:rPr>
      </w:pPr>
      <w:r>
        <w:rPr>
          <w:rFonts w:ascii="仿宋_GB2312" w:hAnsi="仿宋_GB2312" w:eastAsia="仿宋_GB2312" w:cs="仿宋_GB2312"/>
          <w:sz w:val="21"/>
        </w:rPr>
        <w:t>9.1 因</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原因造成采购合同无法按时签订的，视为</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违约，</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应向采购人支付中标金额20%的违约金，对采购人造成的损失的，</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还需另行支付相应的赔偿。</w:t>
      </w:r>
    </w:p>
    <w:p w14:paraId="5E63582B">
      <w:pPr>
        <w:pStyle w:val="10"/>
        <w:spacing w:before="105" w:after="105"/>
        <w:ind w:firstLine="480"/>
        <w:jc w:val="both"/>
        <w:rPr>
          <w:rFonts w:hint="default"/>
        </w:rPr>
      </w:pPr>
      <w:r>
        <w:rPr>
          <w:rFonts w:ascii="仿宋_GB2312" w:hAnsi="仿宋_GB2312" w:eastAsia="仿宋_GB2312" w:cs="仿宋_GB2312"/>
          <w:sz w:val="21"/>
        </w:rPr>
        <w:t>9.2 在签定采购合同之后，有下列情形之一的，将视为</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违约，采购人有权从履约保证金中取得补偿（如有提交履约保证金的），并可进一步提出追索和索赔：</w:t>
      </w:r>
    </w:p>
    <w:p w14:paraId="243A5346">
      <w:pPr>
        <w:pStyle w:val="10"/>
        <w:spacing w:before="105" w:after="105"/>
        <w:ind w:firstLine="480"/>
        <w:jc w:val="both"/>
        <w:rPr>
          <w:rFonts w:hint="default"/>
        </w:rPr>
      </w:pPr>
      <w:r>
        <w:rPr>
          <w:rFonts w:ascii="仿宋_GB2312" w:hAnsi="仿宋_GB2312" w:eastAsia="仿宋_GB2312" w:cs="仿宋_GB2312"/>
          <w:sz w:val="21"/>
        </w:rPr>
        <w:t>9.2.1</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逾期交货的，每逾期一天，按合同价格的千分之五偿付违约金，超过约定期限30个自然日未能完成交货的（不可抗力因素除外），采购人有权单方面解除本合同，</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应向采购人支付合同总价款的20%作为违约金，若因此给采购人造成损失的，还应赔偿采购人所有损失；</w:t>
      </w:r>
    </w:p>
    <w:p w14:paraId="6C995C40">
      <w:pPr>
        <w:pStyle w:val="10"/>
        <w:spacing w:before="105" w:after="105"/>
        <w:ind w:firstLine="480"/>
        <w:jc w:val="both"/>
        <w:rPr>
          <w:rFonts w:hint="default"/>
        </w:rPr>
      </w:pPr>
      <w:r>
        <w:rPr>
          <w:rFonts w:ascii="仿宋_GB2312" w:hAnsi="仿宋_GB2312" w:eastAsia="仿宋_GB2312" w:cs="仿宋_GB2312"/>
          <w:sz w:val="21"/>
        </w:rPr>
        <w:t>9.2.2</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所交付的产品不符合合同规定及采购人</w:t>
      </w:r>
      <w:r>
        <w:rPr>
          <w:rFonts w:hint="eastAsia" w:ascii="仿宋_GB2312" w:hAnsi="仿宋_GB2312" w:eastAsia="仿宋_GB2312" w:cs="仿宋_GB2312"/>
          <w:sz w:val="21"/>
          <w:lang w:eastAsia="zh-CN"/>
        </w:rPr>
        <w:t>采购</w:t>
      </w:r>
      <w:r>
        <w:rPr>
          <w:rFonts w:ascii="仿宋_GB2312" w:hAnsi="仿宋_GB2312" w:eastAsia="仿宋_GB2312" w:cs="仿宋_GB2312"/>
          <w:sz w:val="21"/>
        </w:rPr>
        <w:t>文件、</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投标文件规定标准的，采购人有权拒收，</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愿意更换产品但逾期交货的，按</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延期交货处理，</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须支付延期供货违约金。</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拒绝更换产品的，视为</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主动违约。若无法更换或仍不合格的，采购人有权单方面解除本合同，并要求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按合同总价款的20%支付违约金。违约金不足以补偿采购人损失的，采购人有权要求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赔偿损失。</w:t>
      </w:r>
    </w:p>
    <w:p w14:paraId="5274E974">
      <w:pPr>
        <w:pStyle w:val="10"/>
        <w:spacing w:before="105" w:after="105"/>
        <w:ind w:firstLine="480"/>
        <w:jc w:val="both"/>
        <w:rPr>
          <w:rFonts w:hint="default"/>
        </w:rPr>
      </w:pPr>
      <w:r>
        <w:rPr>
          <w:rFonts w:ascii="仿宋_GB2312" w:hAnsi="仿宋_GB2312" w:eastAsia="仿宋_GB2312" w:cs="仿宋_GB2312"/>
          <w:sz w:val="21"/>
        </w:rPr>
        <w:t>9.2.3</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提供设备经安装调试后无法通过验收，经限期整改后仍无法通过验收的，采购人有权单方面解除合同，并要求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按合同总价款的20%支付违约金。违约金不足以补偿损失，采购人有权要求</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赔偿损失。</w:t>
      </w:r>
    </w:p>
    <w:p w14:paraId="6A2CD7B0">
      <w:pPr>
        <w:pStyle w:val="10"/>
        <w:spacing w:before="105" w:after="105"/>
        <w:ind w:firstLine="480"/>
        <w:jc w:val="both"/>
        <w:rPr>
          <w:rFonts w:hint="default"/>
        </w:rPr>
      </w:pPr>
      <w:r>
        <w:rPr>
          <w:rFonts w:ascii="仿宋_GB2312" w:hAnsi="仿宋_GB2312" w:eastAsia="仿宋_GB2312" w:cs="仿宋_GB2312"/>
          <w:sz w:val="21"/>
        </w:rPr>
        <w:t>9.2.</w:t>
      </w:r>
      <w:r>
        <w:rPr>
          <w:rFonts w:ascii="仿宋_GB2312" w:hAnsi="仿宋_GB2312" w:eastAsia="仿宋_GB2312" w:cs="仿宋_GB2312"/>
          <w:sz w:val="21"/>
          <w:lang w:eastAsia="zh-CN"/>
        </w:rPr>
        <w:t>4</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不能完成合同的（不可抗力因素造成的除外），</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应双倍返还采购人支付的合同款；</w:t>
      </w:r>
    </w:p>
    <w:p w14:paraId="555B5EE4">
      <w:pPr>
        <w:pStyle w:val="10"/>
        <w:spacing w:before="105" w:after="105"/>
        <w:ind w:firstLine="480"/>
        <w:jc w:val="both"/>
        <w:rPr>
          <w:rFonts w:hint="default"/>
        </w:rPr>
      </w:pPr>
      <w:r>
        <w:rPr>
          <w:rFonts w:ascii="仿宋_GB2312" w:hAnsi="仿宋_GB2312" w:eastAsia="仿宋_GB2312" w:cs="仿宋_GB2312"/>
          <w:sz w:val="21"/>
        </w:rPr>
        <w:t>9.2.</w:t>
      </w:r>
      <w:r>
        <w:rPr>
          <w:rFonts w:ascii="仿宋_GB2312" w:hAnsi="仿宋_GB2312" w:eastAsia="仿宋_GB2312" w:cs="仿宋_GB2312"/>
          <w:sz w:val="21"/>
          <w:lang w:eastAsia="zh-CN"/>
        </w:rPr>
        <w:t>5</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未能按合同规定履行其义务的；</w:t>
      </w:r>
    </w:p>
    <w:p w14:paraId="2D543682">
      <w:pPr>
        <w:pStyle w:val="10"/>
        <w:spacing w:before="105" w:after="105"/>
        <w:ind w:firstLine="480"/>
        <w:jc w:val="both"/>
        <w:rPr>
          <w:rFonts w:hint="default"/>
        </w:rPr>
      </w:pPr>
      <w:r>
        <w:rPr>
          <w:rFonts w:ascii="仿宋_GB2312" w:hAnsi="仿宋_GB2312" w:eastAsia="仿宋_GB2312" w:cs="仿宋_GB2312"/>
          <w:sz w:val="21"/>
        </w:rPr>
        <w:t>9.2.</w:t>
      </w:r>
      <w:r>
        <w:rPr>
          <w:rFonts w:ascii="仿宋_GB2312" w:hAnsi="仿宋_GB2312" w:eastAsia="仿宋_GB2312" w:cs="仿宋_GB2312"/>
          <w:sz w:val="21"/>
          <w:lang w:eastAsia="zh-CN"/>
        </w:rPr>
        <w:t>6</w:t>
      </w:r>
      <w:r>
        <w:rPr>
          <w:rFonts w:ascii="仿宋_GB2312" w:hAnsi="仿宋_GB2312" w:eastAsia="仿宋_GB2312" w:cs="仿宋_GB2312"/>
          <w:sz w:val="21"/>
        </w:rPr>
        <w:t>在</w:t>
      </w:r>
      <w:r>
        <w:rPr>
          <w:rFonts w:ascii="仿宋_GB2312" w:hAnsi="仿宋_GB2312" w:eastAsia="仿宋_GB2312" w:cs="仿宋_GB2312"/>
          <w:sz w:val="21"/>
          <w:lang w:eastAsia="zh-CN"/>
        </w:rPr>
        <w:t>签订</w:t>
      </w:r>
      <w:r>
        <w:rPr>
          <w:rFonts w:ascii="仿宋_GB2312" w:hAnsi="仿宋_GB2312" w:eastAsia="仿宋_GB2312" w:cs="仿宋_GB2312"/>
          <w:sz w:val="21"/>
        </w:rPr>
        <w:t>采购合同之后，</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要求解除合同的；</w:t>
      </w:r>
    </w:p>
    <w:p w14:paraId="12BBDF5D">
      <w:pPr>
        <w:pStyle w:val="10"/>
        <w:ind w:firstLine="420"/>
        <w:rPr>
          <w:rFonts w:hint="default"/>
        </w:rPr>
      </w:pPr>
      <w:r>
        <w:rPr>
          <w:rFonts w:ascii="仿宋_GB2312" w:hAnsi="仿宋_GB2312" w:eastAsia="仿宋_GB2312" w:cs="仿宋_GB2312"/>
          <w:sz w:val="21"/>
        </w:rPr>
        <w:t>9.3 本项目所有服务，都必须由</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或在投标文件中明确的单位承担，不得进行分包或转包。如有发现，视为</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违约，采购人有权单方终止合同，</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应向采购人支付中标金额20%的违约金，对采购人造成损失的，需另行支付相应的赔偿。</w:t>
      </w:r>
    </w:p>
    <w:p w14:paraId="4C74A6DC">
      <w:pPr>
        <w:pStyle w:val="10"/>
        <w:spacing w:before="105" w:after="105"/>
        <w:ind w:firstLine="480"/>
        <w:jc w:val="both"/>
        <w:rPr>
          <w:rFonts w:hint="default"/>
        </w:rPr>
      </w:pPr>
      <w:r>
        <w:rPr>
          <w:rFonts w:ascii="仿宋_GB2312" w:hAnsi="仿宋_GB2312" w:eastAsia="仿宋_GB2312" w:cs="仿宋_GB2312"/>
          <w:sz w:val="21"/>
        </w:rPr>
        <w:t xml:space="preserve">9.4 </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履行义务不符合合同约定时，采购人有权扣减尾款。</w:t>
      </w:r>
    </w:p>
    <w:p w14:paraId="323228FA">
      <w:pPr>
        <w:pStyle w:val="10"/>
        <w:spacing w:before="105" w:after="105"/>
        <w:ind w:firstLine="480"/>
        <w:jc w:val="both"/>
        <w:rPr>
          <w:rFonts w:hint="default"/>
        </w:rPr>
      </w:pPr>
      <w:r>
        <w:rPr>
          <w:rFonts w:ascii="仿宋_GB2312" w:hAnsi="仿宋_GB2312" w:eastAsia="仿宋_GB2312" w:cs="仿宋_GB2312"/>
          <w:sz w:val="21"/>
        </w:rPr>
        <w:t>9.5 因</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原因发生重大质量事故，除依约承担赔偿责任外，还将按有关质量管理办法规定执行。同时，采购人有权保留更换</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的权利，并报相关行政主管部门处罚。</w:t>
      </w:r>
    </w:p>
    <w:p w14:paraId="495ADD9B">
      <w:pPr>
        <w:pStyle w:val="10"/>
        <w:spacing w:before="105" w:after="105"/>
        <w:ind w:firstLine="480"/>
        <w:jc w:val="both"/>
        <w:rPr>
          <w:rFonts w:hint="default"/>
        </w:rPr>
      </w:pPr>
      <w:r>
        <w:rPr>
          <w:rFonts w:ascii="仿宋_GB2312" w:hAnsi="仿宋_GB2312" w:eastAsia="仿宋_GB2312" w:cs="仿宋_GB2312"/>
          <w:sz w:val="21"/>
        </w:rPr>
        <w:t>9.6 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14:paraId="3DF45488">
      <w:pPr>
        <w:pStyle w:val="10"/>
        <w:spacing w:before="105" w:after="105"/>
        <w:ind w:firstLine="480"/>
        <w:jc w:val="both"/>
        <w:rPr>
          <w:rFonts w:hint="default"/>
        </w:rPr>
      </w:pPr>
      <w:r>
        <w:rPr>
          <w:rFonts w:ascii="仿宋_GB2312" w:hAnsi="仿宋_GB2312" w:eastAsia="仿宋_GB2312" w:cs="仿宋_GB2312"/>
          <w:sz w:val="21"/>
        </w:rPr>
        <w:t>9.7 在明确违约责任后，</w:t>
      </w:r>
      <w:r>
        <w:rPr>
          <w:rFonts w:hint="eastAsia" w:ascii="仿宋_GB2312" w:hAnsi="仿宋_GB2312" w:eastAsia="仿宋_GB2312" w:cs="仿宋_GB2312"/>
          <w:sz w:val="21"/>
          <w:lang w:eastAsia="zh-CN"/>
        </w:rPr>
        <w:t>供应商</w:t>
      </w:r>
      <w:r>
        <w:rPr>
          <w:rFonts w:ascii="仿宋_GB2312" w:hAnsi="仿宋_GB2312" w:eastAsia="仿宋_GB2312" w:cs="仿宋_GB2312"/>
          <w:sz w:val="21"/>
        </w:rPr>
        <w:t>应在接到书面通知书起七天内支付违约金、赔偿金等。</w:t>
      </w:r>
    </w:p>
    <w:p w14:paraId="615BBB59">
      <w:pPr>
        <w:pStyle w:val="10"/>
        <w:jc w:val="both"/>
        <w:outlineLvl w:val="2"/>
        <w:rPr>
          <w:rFonts w:hint="default" w:ascii="国标黑体" w:hAnsi="国标黑体" w:eastAsia="国标黑体" w:cs="国标黑体"/>
          <w:b w:val="0"/>
          <w:bCs/>
          <w:sz w:val="28"/>
        </w:rPr>
      </w:pPr>
      <w:r>
        <w:rPr>
          <w:rFonts w:hint="eastAsia" w:ascii="国标黑体" w:hAnsi="国标黑体" w:eastAsia="国标黑体" w:cs="国标黑体"/>
          <w:b w:val="0"/>
          <w:bCs/>
          <w:sz w:val="28"/>
        </w:rPr>
        <w:t>四、其他事项</w:t>
      </w:r>
    </w:p>
    <w:p w14:paraId="172F2C49">
      <w:pPr>
        <w:pStyle w:val="10"/>
        <w:ind w:firstLine="480"/>
        <w:jc w:val="both"/>
        <w:rPr>
          <w:rFonts w:ascii="仿宋_GB2312" w:hAnsi="仿宋_GB2312" w:eastAsia="仿宋_GB2312" w:cs="仿宋_GB2312"/>
          <w:lang w:eastAsia="zh-CN"/>
        </w:rPr>
      </w:pPr>
      <w:r>
        <w:rPr>
          <w:rFonts w:ascii="仿宋_GB2312" w:hAnsi="仿宋_GB2312" w:eastAsia="仿宋_GB2312" w:cs="仿宋_GB2312"/>
        </w:rPr>
        <w:t>1、除</w:t>
      </w:r>
      <w:r>
        <w:rPr>
          <w:rFonts w:hint="eastAsia" w:ascii="仿宋_GB2312" w:hAnsi="仿宋_GB2312" w:eastAsia="仿宋_GB2312" w:cs="仿宋_GB2312"/>
          <w:lang w:eastAsia="zh-CN"/>
        </w:rPr>
        <w:t>采购</w:t>
      </w:r>
      <w:r>
        <w:rPr>
          <w:rFonts w:ascii="仿宋_GB2312" w:hAnsi="仿宋_GB2312" w:eastAsia="仿宋_GB2312" w:cs="仿宋_GB2312"/>
        </w:rPr>
        <w:t>文件另有规定外，若出现有关</w:t>
      </w:r>
      <w:r>
        <w:rPr>
          <w:rFonts w:ascii="仿宋_GB2312" w:hAnsi="仿宋_GB2312" w:eastAsia="仿宋_GB2312" w:cs="仿宋_GB2312"/>
          <w:lang w:eastAsia="zh-CN"/>
        </w:rPr>
        <w:t>法律法规</w:t>
      </w:r>
      <w:r>
        <w:rPr>
          <w:rFonts w:ascii="仿宋_GB2312" w:hAnsi="仿宋_GB2312" w:eastAsia="仿宋_GB2312" w:cs="仿宋_GB2312"/>
        </w:rPr>
        <w:t>和规章有强制性规定但</w:t>
      </w:r>
      <w:r>
        <w:rPr>
          <w:rFonts w:hint="eastAsia" w:ascii="仿宋_GB2312" w:hAnsi="仿宋_GB2312" w:eastAsia="仿宋_GB2312" w:cs="仿宋_GB2312"/>
          <w:lang w:eastAsia="zh-CN"/>
        </w:rPr>
        <w:t>采购</w:t>
      </w:r>
      <w:r>
        <w:rPr>
          <w:rFonts w:ascii="仿宋_GB2312" w:hAnsi="仿宋_GB2312" w:eastAsia="仿宋_GB2312" w:cs="仿宋_GB2312"/>
        </w:rPr>
        <w:t>文件未列明的情形，则</w:t>
      </w:r>
      <w:r>
        <w:rPr>
          <w:rFonts w:hint="eastAsia" w:ascii="仿宋_GB2312" w:hAnsi="仿宋_GB2312" w:eastAsia="仿宋_GB2312" w:cs="仿宋_GB2312"/>
          <w:lang w:eastAsia="zh-CN"/>
        </w:rPr>
        <w:t>响应人</w:t>
      </w:r>
      <w:r>
        <w:rPr>
          <w:rFonts w:ascii="仿宋_GB2312" w:hAnsi="仿宋_GB2312" w:eastAsia="仿宋_GB2312" w:cs="仿宋_GB2312"/>
        </w:rPr>
        <w:t>应按照有关</w:t>
      </w:r>
      <w:r>
        <w:rPr>
          <w:rFonts w:ascii="仿宋_GB2312" w:hAnsi="仿宋_GB2312" w:eastAsia="仿宋_GB2312" w:cs="仿宋_GB2312"/>
          <w:lang w:eastAsia="zh-CN"/>
        </w:rPr>
        <w:t>法律法规</w:t>
      </w:r>
      <w:r>
        <w:rPr>
          <w:rFonts w:ascii="仿宋_GB2312" w:hAnsi="仿宋_GB2312" w:eastAsia="仿宋_GB2312" w:cs="仿宋_GB2312"/>
        </w:rPr>
        <w:t>和规章强制性规定执行。</w:t>
      </w:r>
    </w:p>
    <w:p w14:paraId="49F2CC7D">
      <w:pPr>
        <w:pStyle w:val="10"/>
        <w:ind w:firstLine="480"/>
        <w:jc w:val="both"/>
        <w:rPr>
          <w:rFonts w:ascii="仿宋_GB2312" w:hAnsi="仿宋_GB2312" w:eastAsia="仿宋_GB2312" w:cs="仿宋_GB2312"/>
          <w:highlight w:val="none"/>
        </w:rPr>
      </w:pPr>
      <w:r>
        <w:rPr>
          <w:rFonts w:hint="default" w:ascii="仿宋_GB2312" w:hAnsi="仿宋_GB2312" w:eastAsia="仿宋_GB2312" w:cs="仿宋_GB2312"/>
        </w:rPr>
        <w:t>2</w:t>
      </w:r>
      <w:r>
        <w:rPr>
          <w:rFonts w:ascii="仿宋_GB2312" w:hAnsi="仿宋_GB2312" w:eastAsia="仿宋_GB2312" w:cs="仿宋_GB2312"/>
        </w:rPr>
        <w:t>、</w:t>
      </w:r>
      <w:r>
        <w:rPr>
          <w:rFonts w:hint="eastAsia" w:ascii="仿宋_GB2312" w:hAnsi="仿宋_GB2312" w:eastAsia="仿宋_GB2312" w:cs="仿宋_GB2312"/>
          <w:lang w:eastAsia="zh-CN"/>
        </w:rPr>
        <w:t>供应商</w:t>
      </w:r>
      <w:r>
        <w:rPr>
          <w:rFonts w:ascii="仿宋_GB2312" w:hAnsi="仿宋_GB2312" w:eastAsia="仿宋_GB2312" w:cs="仿宋_GB2312"/>
        </w:rPr>
        <w:t>在项目实施过程中接触到的所有采购人数据、业务信息及相关资料均负有严格保密义务。未经采购人书面同意，不得向任何第三方披露或用于本项目之外的用途。项目结束后，</w:t>
      </w:r>
      <w:r>
        <w:rPr>
          <w:rFonts w:ascii="仿宋_GB2312" w:hAnsi="仿宋_GB2312" w:eastAsia="仿宋_GB2312" w:cs="仿宋_GB2312"/>
          <w:highlight w:val="none"/>
        </w:rPr>
        <w:t>应按采购人要求归还或销毁所有涉密载体。</w:t>
      </w:r>
    </w:p>
    <w:p w14:paraId="5794CEFE">
      <w:pPr>
        <w:pStyle w:val="10"/>
        <w:ind w:firstLine="480"/>
        <w:jc w:val="both"/>
        <w:rPr>
          <w:rFonts w:hint="default" w:ascii="仿宋_GB2312" w:hAnsi="仿宋_GB2312" w:eastAsia="仿宋_GB2312" w:cs="仿宋_GB2312"/>
          <w:highlight w:val="none"/>
        </w:rPr>
      </w:pPr>
      <w:r>
        <w:rPr>
          <w:rFonts w:hint="default" w:ascii="仿宋_GB2312" w:hAnsi="仿宋_GB2312" w:eastAsia="仿宋_GB2312" w:cs="仿宋_GB2312"/>
          <w:highlight w:val="none"/>
        </w:rPr>
        <w:t>3</w:t>
      </w:r>
      <w:r>
        <w:rPr>
          <w:rFonts w:ascii="仿宋_GB2312" w:hAnsi="仿宋_GB2312" w:eastAsia="仿宋_GB2312" w:cs="仿宋_GB2312"/>
          <w:highlight w:val="none"/>
        </w:rPr>
        <w:t>、本项目产生的所有开发成果（包括但不限于源代码、设计文档、数据库结构、操作手册等）的知识产权归采购人所有。</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需在验收前完成所有源代码及相关技术资料的完整移交。</w:t>
      </w:r>
    </w:p>
    <w:p w14:paraId="07C2B607">
      <w:pPr>
        <w:pStyle w:val="10"/>
        <w:ind w:firstLine="480"/>
        <w:jc w:val="both"/>
        <w:rPr>
          <w:rFonts w:hint="default"/>
          <w:highlight w:val="none"/>
        </w:rPr>
      </w:pPr>
      <w:r>
        <w:rPr>
          <w:rFonts w:ascii="仿宋_GB2312" w:hAnsi="仿宋_GB2312" w:eastAsia="仿宋_GB2312" w:cs="仿宋_GB2312"/>
          <w:highlight w:val="none"/>
          <w:lang w:eastAsia="zh-CN"/>
        </w:rPr>
        <w:t>4</w:t>
      </w:r>
      <w:r>
        <w:rPr>
          <w:rFonts w:ascii="仿宋_GB2312" w:hAnsi="仿宋_GB2312" w:eastAsia="仿宋_GB2312" w:cs="仿宋_GB2312"/>
          <w:highlight w:val="none"/>
        </w:rPr>
        <w:t>、其他：</w:t>
      </w:r>
    </w:p>
    <w:p w14:paraId="53CDE549">
      <w:pPr>
        <w:pStyle w:val="10"/>
        <w:ind w:firstLine="480"/>
        <w:jc w:val="both"/>
        <w:rPr>
          <w:rFonts w:ascii="仿宋_GB2312" w:hAnsi="仿宋_GB2312" w:eastAsia="仿宋_GB2312" w:cs="仿宋_GB2312"/>
        </w:rPr>
      </w:pPr>
      <w:r>
        <w:rPr>
          <w:rFonts w:ascii="仿宋_GB2312" w:hAnsi="仿宋_GB2312" w:eastAsia="仿宋_GB2312" w:cs="仿宋_GB2312"/>
          <w:highlight w:val="none"/>
        </w:rPr>
        <w:t>（1）本项目不允许</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以任何名义和理由进行转包，如有发现，采购人有权单方终止合同，视为</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违约；</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违约对采购人造成的损失的，需另行支付相应的赔偿。（2）本</w:t>
      </w:r>
      <w:r>
        <w:rPr>
          <w:rFonts w:hint="eastAsia" w:ascii="仿宋_GB2312" w:hAnsi="仿宋_GB2312" w:eastAsia="仿宋_GB2312" w:cs="仿宋_GB2312"/>
          <w:highlight w:val="none"/>
          <w:lang w:eastAsia="zh-CN"/>
        </w:rPr>
        <w:t>采购</w:t>
      </w:r>
      <w:r>
        <w:rPr>
          <w:rFonts w:ascii="仿宋_GB2312" w:hAnsi="仿宋_GB2312" w:eastAsia="仿宋_GB2312" w:cs="仿宋_GB2312"/>
          <w:highlight w:val="none"/>
        </w:rPr>
        <w:t>文件未明确的</w:t>
      </w:r>
      <w:r>
        <w:rPr>
          <w:rFonts w:ascii="仿宋_GB2312" w:hAnsi="仿宋_GB2312" w:eastAsia="仿宋_GB2312" w:cs="仿宋_GB2312"/>
          <w:highlight w:val="none"/>
          <w:lang w:eastAsia="zh-CN"/>
        </w:rPr>
        <w:t>其他约定</w:t>
      </w:r>
      <w:r>
        <w:rPr>
          <w:rFonts w:ascii="仿宋_GB2312" w:hAnsi="仿宋_GB2312" w:eastAsia="仿宋_GB2312" w:cs="仿宋_GB2312"/>
          <w:highlight w:val="none"/>
        </w:rPr>
        <w:t>事项或条款，待采购人与</w:t>
      </w:r>
      <w:r>
        <w:rPr>
          <w:rFonts w:hint="eastAsia" w:ascii="仿宋_GB2312" w:hAnsi="仿宋_GB2312" w:eastAsia="仿宋_GB2312" w:cs="仿宋_GB2312"/>
          <w:highlight w:val="none"/>
          <w:lang w:eastAsia="zh-CN"/>
        </w:rPr>
        <w:t>供应商</w:t>
      </w:r>
      <w:r>
        <w:rPr>
          <w:rFonts w:ascii="仿宋_GB2312" w:hAnsi="仿宋_GB2312" w:eastAsia="仿宋_GB2312" w:cs="仿宋_GB2312"/>
          <w:highlight w:val="none"/>
        </w:rPr>
        <w:t>签订合同时，由双方协商订立。（</w:t>
      </w:r>
      <w:r>
        <w:rPr>
          <w:rFonts w:ascii="仿宋_GB2312" w:hAnsi="仿宋_GB2312" w:eastAsia="仿宋_GB2312" w:cs="仿宋_GB2312"/>
          <w:highlight w:val="none"/>
          <w:lang w:eastAsia="zh-CN"/>
        </w:rPr>
        <w:t>3</w:t>
      </w:r>
      <w:r>
        <w:rPr>
          <w:rFonts w:ascii="仿宋_GB2312" w:hAnsi="仿宋_GB2312" w:eastAsia="仿宋_GB2312" w:cs="仿宋_GB2312"/>
          <w:highlight w:val="none"/>
        </w:rPr>
        <w:t>）“一、项目概况（采购标的）”和“四、其他事项”下为告知性内容，</w:t>
      </w:r>
      <w:r>
        <w:rPr>
          <w:rFonts w:hint="eastAsia" w:ascii="仿宋_GB2312" w:hAnsi="仿宋_GB2312" w:eastAsia="仿宋_GB2312" w:cs="仿宋_GB2312"/>
          <w:highlight w:val="none"/>
          <w:lang w:eastAsia="zh-CN"/>
        </w:rPr>
        <w:t>响应人</w:t>
      </w:r>
      <w:r>
        <w:rPr>
          <w:rFonts w:ascii="仿宋_GB2312" w:hAnsi="仿宋_GB2312" w:eastAsia="仿宋_GB2312" w:cs="仿宋_GB2312"/>
          <w:highlight w:val="none"/>
        </w:rPr>
        <w:t>无需在《技术和服务要求响应表》或《商务条件响应表》中响应但必须遵循，请各</w:t>
      </w:r>
      <w:r>
        <w:rPr>
          <w:rFonts w:hint="eastAsia" w:ascii="仿宋_GB2312" w:hAnsi="仿宋_GB2312" w:eastAsia="仿宋_GB2312" w:cs="仿宋_GB2312"/>
          <w:lang w:eastAsia="zh-CN"/>
        </w:rPr>
        <w:t>响应人</w:t>
      </w:r>
      <w:r>
        <w:rPr>
          <w:rFonts w:ascii="仿宋_GB2312" w:hAnsi="仿宋_GB2312" w:eastAsia="仿宋_GB2312" w:cs="仿宋_GB2312"/>
        </w:rPr>
        <w:t>务必仔细阅读、遵守本项下所有细则。</w:t>
      </w:r>
    </w:p>
    <w:p w14:paraId="1CE20AF2">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AAB534F"/>
    <w:rsid w:val="3EDFA1DE"/>
    <w:rsid w:val="45BB38DF"/>
    <w:rsid w:val="59524580"/>
    <w:rsid w:val="5BF86E2E"/>
    <w:rsid w:val="5CDF523A"/>
    <w:rsid w:val="5DDF5AB9"/>
    <w:rsid w:val="5E3FA599"/>
    <w:rsid w:val="5F871F26"/>
    <w:rsid w:val="5F9C4E38"/>
    <w:rsid w:val="6ABA53A9"/>
    <w:rsid w:val="6EB2258E"/>
    <w:rsid w:val="777E6BF5"/>
    <w:rsid w:val="7E4D1A7C"/>
    <w:rsid w:val="7E7E24BE"/>
    <w:rsid w:val="7FADAD1C"/>
    <w:rsid w:val="8FE54FEB"/>
    <w:rsid w:val="B3E6DFC2"/>
    <w:rsid w:val="B6FF4A76"/>
    <w:rsid w:val="BC1BF133"/>
    <w:rsid w:val="D6E91D89"/>
    <w:rsid w:val="DAFDDDE0"/>
    <w:rsid w:val="DDBDF718"/>
    <w:rsid w:val="DF3FE0A3"/>
    <w:rsid w:val="DF77B4F3"/>
    <w:rsid w:val="DFBF45B3"/>
    <w:rsid w:val="EBEF0BE6"/>
    <w:rsid w:val="EBF3FD0A"/>
    <w:rsid w:val="F7D0F2A2"/>
    <w:rsid w:val="F7FEEF48"/>
    <w:rsid w:val="FFDDE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454"/>
      <w:jc w:val="both"/>
    </w:pPr>
    <w:rPr>
      <w:rFonts w:ascii="宋体" w:hAnsi="宋体" w:eastAsia="宋体" w:cs="宋体"/>
      <w:sz w:val="28"/>
      <w:szCs w:val="24"/>
      <w:lang w:val="en-US" w:eastAsia="zh-CN" w:bidi="ar-SA"/>
    </w:rPr>
  </w:style>
  <w:style w:type="character" w:default="1" w:styleId="8">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customStyle="1" w:styleId="2">
    <w:name w:val="正文1"/>
    <w:basedOn w:val="1"/>
    <w:qFormat/>
    <w:uiPriority w:val="0"/>
    <w:pPr>
      <w:spacing w:line="300" w:lineRule="auto"/>
      <w:ind w:firstLine="560" w:firstLineChars="200"/>
    </w:pPr>
    <w:rPr>
      <w:rFonts w:ascii="Times New Roman" w:hAnsi="Times New Roman"/>
    </w:rPr>
  </w:style>
  <w:style w:type="paragraph" w:styleId="3">
    <w:name w:val="annotation text"/>
    <w:basedOn w:val="1"/>
    <w:link w:val="15"/>
    <w:qFormat/>
    <w:uiPriority w:val="0"/>
    <w:pPr>
      <w:jc w:val="left"/>
    </w:pPr>
  </w:style>
  <w:style w:type="paragraph" w:styleId="4">
    <w:name w:val="footer"/>
    <w:basedOn w:val="1"/>
    <w:link w:val="13"/>
    <w:qFormat/>
    <w:uiPriority w:val="0"/>
    <w:pPr>
      <w:tabs>
        <w:tab w:val="center" w:pos="4153"/>
        <w:tab w:val="right" w:pos="8306"/>
      </w:tabs>
      <w:snapToGrid w:val="0"/>
      <w:spacing w:line="240" w:lineRule="auto"/>
      <w:jc w:val="left"/>
    </w:pPr>
    <w:rPr>
      <w:sz w:val="18"/>
      <w:szCs w:val="18"/>
    </w:rPr>
  </w:style>
  <w:style w:type="paragraph" w:styleId="5">
    <w:name w:val="header"/>
    <w:basedOn w:val="1"/>
    <w:link w:val="12"/>
    <w:qFormat/>
    <w:uiPriority w:val="0"/>
    <w:pPr>
      <w:tabs>
        <w:tab w:val="center" w:pos="4153"/>
        <w:tab w:val="right" w:pos="8306"/>
      </w:tabs>
      <w:snapToGrid w:val="0"/>
      <w:spacing w:line="240" w:lineRule="auto"/>
      <w:jc w:val="center"/>
    </w:pPr>
    <w:rPr>
      <w:sz w:val="18"/>
      <w:szCs w:val="18"/>
    </w:rPr>
  </w:style>
  <w:style w:type="paragraph" w:styleId="6">
    <w:name w:val="Normal (Web)"/>
    <w:basedOn w:val="1"/>
    <w:qFormat/>
    <w:uiPriority w:val="0"/>
    <w:rPr>
      <w:sz w:val="24"/>
    </w:rPr>
  </w:style>
  <w:style w:type="character" w:styleId="9">
    <w:name w:val="annotation reference"/>
    <w:basedOn w:val="8"/>
    <w:qFormat/>
    <w:uiPriority w:val="0"/>
    <w:rPr>
      <w:sz w:val="21"/>
      <w:szCs w:val="21"/>
    </w:rPr>
  </w:style>
  <w:style w:type="paragraph" w:customStyle="1" w:styleId="10">
    <w:name w:val="null3"/>
    <w:qFormat/>
    <w:uiPriority w:val="0"/>
    <w:rPr>
      <w:rFonts w:hint="eastAsia" w:ascii="Calibri" w:hAnsi="Calibri" w:eastAsia="宋体" w:cs="宋体"/>
      <w:lang w:val="en-US" w:bidi="ar-SA"/>
    </w:rPr>
  </w:style>
  <w:style w:type="paragraph" w:customStyle="1" w:styleId="11">
    <w:name w:val="修订1"/>
    <w:qFormat/>
    <w:uiPriority w:val="99"/>
    <w:rPr>
      <w:rFonts w:ascii="宋体" w:hAnsi="宋体" w:eastAsia="宋体" w:cs="宋体"/>
      <w:sz w:val="28"/>
      <w:szCs w:val="24"/>
      <w:lang w:val="en-US" w:eastAsia="zh-CN" w:bidi="ar-SA"/>
    </w:rPr>
  </w:style>
  <w:style w:type="character" w:customStyle="1" w:styleId="12">
    <w:name w:val="页眉 字符"/>
    <w:basedOn w:val="8"/>
    <w:link w:val="5"/>
    <w:qFormat/>
    <w:uiPriority w:val="0"/>
    <w:rPr>
      <w:rFonts w:ascii="宋体" w:hAnsi="宋体" w:cs="宋体"/>
      <w:sz w:val="18"/>
      <w:szCs w:val="18"/>
    </w:rPr>
  </w:style>
  <w:style w:type="character" w:customStyle="1" w:styleId="13">
    <w:name w:val="页脚 字符"/>
    <w:basedOn w:val="8"/>
    <w:link w:val="4"/>
    <w:qFormat/>
    <w:uiPriority w:val="0"/>
    <w:rPr>
      <w:rFonts w:ascii="宋体" w:hAnsi="宋体" w:cs="宋体"/>
      <w:sz w:val="18"/>
      <w:szCs w:val="18"/>
    </w:rPr>
  </w:style>
  <w:style w:type="paragraph" w:customStyle="1" w:styleId="14">
    <w:name w:val="Revision_3c02199a-2905-4ceb-ba2b-0f1ba7fb36fc"/>
    <w:qFormat/>
    <w:uiPriority w:val="99"/>
    <w:rPr>
      <w:rFonts w:ascii="宋体" w:hAnsi="宋体" w:eastAsia="宋体" w:cs="宋体"/>
      <w:sz w:val="28"/>
      <w:szCs w:val="24"/>
      <w:lang w:val="en-US" w:eastAsia="zh-CN" w:bidi="ar-SA"/>
    </w:rPr>
  </w:style>
  <w:style w:type="character" w:customStyle="1" w:styleId="15">
    <w:name w:val="批注文字 字符"/>
    <w:basedOn w:val="8"/>
    <w:link w:val="3"/>
    <w:qFormat/>
    <w:uiPriority w:val="0"/>
    <w:rPr>
      <w:rFonts w:ascii="宋体" w:hAnsi="宋体" w:cs="宋体"/>
      <w:sz w:val="2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c6d5bb92-a2c7-45bd-b1a5-2de685b93b36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4571B24B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346e802b-77dd-4b03-ab09-6a94491834e0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4571B24B</paraID>
      <start xmlns="http://schemas.wps.cn/vas-ai-hub/contract-review">198</start>
      <end xmlns="http://schemas.wps.cn/vas-ai-hub/contract-review">199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7b0fe000-0a9a-4364-919b-6aa59926cae3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3632F083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b51fe4f7-bd5d-4140-a845-5251548dd6fb</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7596BE84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d6760344-3d02-46bd-9baf-bf2a388c1403</errorID>
      <errorWord xmlns="http://schemas.wps.cn/vas-ai-hub/contract-review">行政处罚裁量权基准</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行政处罚裁量基准</item>
      </candidateList>
      <explain xmlns="http://schemas.wps.cn/vas-ai-hub/contract-review">词汇“行政处罚裁量基准”在特定场景下为固定表述形式，请确认此处的“行政处罚裁量权基准”是否存在不当。</explain>
      <paraID xmlns="http://schemas.wps.cn/vas-ai-hub/contract-review">5273D250</paraID>
      <start xmlns="http://schemas.wps.cn/vas-ai-hub/contract-review">34</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7660554b-83a8-4189-af04-0774475997a4</errorID>
      <errorWord xmlns="http://schemas.wps.cn/vas-ai-hub/contract-review">网络安全法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中华人民共和国网络安全法</item>
      </candidateList>
      <explain xmlns="http://schemas.wps.cn/vas-ai-hub/contract-review">当前法律法规名称使用简称，请注意是否应当使用全称。</explain>
      <paraID xmlns="http://schemas.wps.cn/vas-ai-hub/contract-review">727C3B68</paraID>
      <start xmlns="http://schemas.wps.cn/vas-ai-hub/contract-review">55</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1ecacecc-929f-4d57-ad89-bf22a978874e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5055AE25</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437b8a67-6d7d-486c-9ef8-a909dad818eb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65B85D0A</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ec6ef065-fac8-4928-ac37-961c38496bb7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65B85D0A</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41681d29-7ea3-426d-bcd9-89321a8713fa</errorID>
      <errorWord xmlns="http://schemas.wps.cn/vas-ai-hub/contract-review">III</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Ⅲ</item>
      </candidateList>
      <explain xmlns="http://schemas.wps.cn/vas-ai-hub/contract-review"/>
      <paraID xmlns="http://schemas.wps.cn/vas-ai-hub/contract-review">65B85D0A</paraID>
      <start xmlns="http://schemas.wps.cn/vas-ai-hub/contract-review">32</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93274569-8f2e-477f-b081-40a9b1e9943c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65B85D0A</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33bbf546-41e4-4cfa-a3dc-ba996d89e456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65B85D0A</paraID>
      <start xmlns="http://schemas.wps.cn/vas-ai-hub/contract-review">46</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f5172efe-9061-4cf3-bf9c-35f063767675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7F9E8F89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40b710f8-e91e-4e65-aa5c-f342ef7d5904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52EFBA37</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99e27371-1717-445d-92cf-7d2691c8b28f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ABABBD8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3d3a884c-c73d-4488-82de-137d186412c3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4596BDA8</paraID>
      <start xmlns="http://schemas.wps.cn/vas-ai-hub/contract-review">0</start>
      <end xmlns="http://schemas.wps.cn/vas-ai-hub/contract-review">3</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3534d9bd-7a11-4b0f-9a60-7129a9642217</errorID>
      <errorWord xmlns="http://schemas.wps.cn/vas-ai-hub/contract-review">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须</item>
      </candidateList>
      <explain xmlns="http://schemas.wps.cn/vas-ai-hub/contract-review">存在发音相同字词的误用。</explain>
      <paraID xmlns="http://schemas.wps.cn/vas-ai-hub/contract-review">2096E1CD</paraID>
      <start xmlns="http://schemas.wps.cn/vas-ai-hub/contract-review">86</start>
      <end xmlns="http://schemas.wps.cn/vas-ai-hub/contract-review">87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f73f2486-f744-4ad0-bdbc-9481dbf69322</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1C913C2A</paraID>
      <start xmlns="http://schemas.wps.cn/vas-ai-hub/contract-review">0</start>
      <end xmlns="http://schemas.wps.cn/vas-ai-hub/contract-review">3</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d2c14fae-d81b-471f-a056-89839f7c696f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1C913C2A</paraID>
      <start xmlns="http://schemas.wps.cn/vas-ai-hub/contract-review">90</start>
      <end xmlns="http://schemas.wps.cn/vas-ai-hub/contract-review">91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2c6da6aa-ef48-432a-85f4-b3b5a7575262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1C913C2A</paraID>
      <start xmlns="http://schemas.wps.cn/vas-ai-hub/contract-review">139</start>
      <end xmlns="http://schemas.wps.cn/vas-ai-hub/contract-review">140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1999b2e2-ec68-422e-80d0-0bd322b05a14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4D9F69D</paraID>
      <start xmlns="http://schemas.wps.cn/vas-ai-hub/contract-review">0</start>
      <end xmlns="http://schemas.wps.cn/vas-ai-hub/contract-review">3</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08501ce0-0ca9-4785-ba34-93f44015999e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1B2FAAED</paraID>
      <start xmlns="http://schemas.wps.cn/vas-ai-hub/contract-review">47</start>
      <end xmlns="http://schemas.wps.cn/vas-ai-hub/contract-review">48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f0590a33-18e9-4a0f-90e8-fe09b67af247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1B2FAAED</paraID>
      <start xmlns="http://schemas.wps.cn/vas-ai-hub/contract-review">101</start>
      <end xmlns="http://schemas.wps.cn/vas-ai-hub/contract-review">102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4112d821-c96b-4c57-9ef1-1ad06562abcc</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2FBD5B51</paraID>
      <start xmlns="http://schemas.wps.cn/vas-ai-hub/contract-review">0</start>
      <end xmlns="http://schemas.wps.cn/vas-ai-hub/contract-review">3</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e492947f-b855-4c57-8337-c2fd63385ee2</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2E7E31AD</paraID>
      <start xmlns="http://schemas.wps.cn/vas-ai-hub/contract-review">0</start>
      <end xmlns="http://schemas.wps.cn/vas-ai-hub/contract-review">3</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165d7939-f0f9-4577-82a6-e51b1467e432</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680F11E</paraID>
      <start xmlns="http://schemas.wps.cn/vas-ai-hub/contract-review">0</start>
      <end xmlns="http://schemas.wps.cn/vas-ai-hub/contract-review">3</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869b84e2-d9aa-4d7e-9a44-c31d97fc9a81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41</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36b89bf7-bcc6-4ed6-a2a3-f931ea5ca236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52</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dc37a64d-84c3-4b0a-ad4f-b748daf08fd6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59</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af535bfb-e155-491a-bfa8-aef471dc026f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69</start>
      <end xmlns="http://schemas.wps.cn/vas-ai-hub/contract-review">70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c2fb0f24-a613-4699-bcb3-9563856a74a5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 680F11E</paraID>
      <start xmlns="http://schemas.wps.cn/vas-ai-hub/contract-review">74</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11a25eea-c2ab-40ec-b72d-d1b04c72a23f</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47E49310</paraID>
      <start xmlns="http://schemas.wps.cn/vas-ai-hub/contract-review">0</start>
      <end xmlns="http://schemas.wps.cn/vas-ai-hub/contract-review">3</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03beea20-39d8-44e6-90ff-c2bcfbf83c79</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2199C5AA</paraID>
      <start xmlns="http://schemas.wps.cn/vas-ai-hub/contract-review">0</start>
      <end xmlns="http://schemas.wps.cn/vas-ai-hub/contract-review">3</end>
      <status xmlns="http://schemas.wps.cn/vas-ai-hub/contract-review">modified</status>
      <modifiedWord xmlns="http://schemas.wps.cn/vas-ai-hub/contract-review">（8）</modifiedWord>
      <trackRevisions xmlns="http://schemas.wps.cn/vas-ai-hub/contract-review">false</trackRevisions>
    </reviewItem>
    <reviewItem xmlns="http://schemas.wps.cn/vas-ai-hub/contract-review">
      <errorID xmlns="http://schemas.wps.cn/vas-ai-hub/contract-review">79b06e08-2f63-47cb-b8a1-ceec8cc19a05</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2199C5AA</paraID>
      <start xmlns="http://schemas.wps.cn/vas-ai-hub/contract-review">27</start>
      <end xmlns="http://schemas.wps.cn/vas-ai-hub/contract-review">31</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1472e5fc-a090-4975-b9fe-7c8a144a6ec0</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2199C5AA</paraID>
      <start xmlns="http://schemas.wps.cn/vas-ai-hub/contract-review">61</start>
      <end xmlns="http://schemas.wps.cn/vas-ai-hub/contract-review">65</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62d2a916-72ba-453e-955f-0355c48c41c7</errorID>
      <errorWord xmlns="http://schemas.wps.cn/vas-ai-hub/contract-review">造成的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造成</item>
      </candidateList>
      <explain xmlns="http://schemas.wps.cn/vas-ai-hub/contract-review"/>
      <paraID xmlns="http://schemas.wps.cn/vas-ai-hub/contract-review">79AAF9A7</paraID>
      <start xmlns="http://schemas.wps.cn/vas-ai-hub/contract-review">58</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b7f39ba2-0b81-4828-9458-877b5fcf5aa6</errorID>
      <errorWord xmlns="http://schemas.wps.cn/vas-ai-hub/contract-review">签定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签订</item>
      </candidateList>
      <explain xmlns="http://schemas.wps.cn/vas-ai-hub/contract-review">存在发音相同字词的误用。</explain>
      <paraID xmlns="http://schemas.wps.cn/vas-ai-hub/contract-review">78D86B7F</paraID>
      <start xmlns="http://schemas.wps.cn/vas-ai-hub/contract-review">5</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239e3dd5-4283-439d-92dd-0b0251af57bd</errorID>
      <errorWord xmlns="http://schemas.wps.cn/vas-ai-hub/contract-review">签定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签订</item>
      </candidateList>
      <explain xmlns="http://schemas.wps.cn/vas-ai-hub/contract-review"/>
      <paraID xmlns="http://schemas.wps.cn/vas-ai-hub/contract-review">214EE2DD</paraID>
      <start xmlns="http://schemas.wps.cn/vas-ai-hub/contract-review">6</start>
      <end xmlns="http://schemas.wps.cn/vas-ai-hub/contract-review">8</end>
      <status xmlns="http://schemas.wps.cn/vas-ai-hub/contract-review">modified</status>
      <modifiedWord xmlns="http://schemas.wps.cn/vas-ai-hub/contract-review">签订</modifiedWord>
      <trackRevisions xmlns="http://schemas.wps.cn/vas-ai-hub/contract-review">false</trackRevisions>
    </reviewItem>
    <reviewItem xmlns="http://schemas.wps.cn/vas-ai-hub/contract-review">
      <errorID xmlns="http://schemas.wps.cn/vas-ai-hub/contract-review">221f6171-de09-427f-a9e2-955c582ed153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6771DF2D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b24bb02e-6d2c-4ca6-9ff6-854c7f90204a</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6771DF2D</paraID>
      <start xmlns="http://schemas.wps.cn/vas-ai-hub/contract-review">18</start>
      <end xmlns="http://schemas.wps.cn/vas-ai-hub/contract-review">22</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341f7faa-4818-4f31-85fd-33c6f3469591</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6771DF2D</paraID>
      <start xmlns="http://schemas.wps.cn/vas-ai-hub/contract-review">52</start>
      <end xmlns="http://schemas.wps.cn/vas-ai-hub/contract-review">56</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1392b4f1-e073-4658-b69e-67ec0f9ffe26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259DD389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2c1a34d8-8ff9-4bb4-b4df-ba0a08ac3830</errorID>
      <errorWord xmlns="http://schemas.wps.cn/vas-ai-hub/contract-review">造成的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造成</item>
      </candidateList>
      <explain xmlns="http://schemas.wps.cn/vas-ai-hub/contract-review"/>
      <paraID xmlns="http://schemas.wps.cn/vas-ai-hub/contract-review">19036092</paraID>
      <start xmlns="http://schemas.wps.cn/vas-ai-hub/contract-review">59</start>
      <end xmlns="http://schemas.wps.cn/vas-ai-hub/contract-review">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fe6e8884-2a52-48de-a547-ac4be88d2cd4</errorID>
      <errorWord xmlns="http://schemas.wps.cn/vas-ai-hub/contract-review">其它约定</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其他约定</item>
      </candidateList>
      <explain xmlns="http://schemas.wps.cn/vas-ai-hub/contract-review">词汇[其它约定]为不规范表述或旧称，其规范书面表述为[其他约定]。</explain>
      <paraID xmlns="http://schemas.wps.cn/vas-ai-hub/contract-review">19036092</paraID>
      <start xmlns="http://schemas.wps.cn/vas-ai-hub/contract-review">89</start>
      <end xmlns="http://schemas.wps.cn/vas-ai-hub/contract-review">93</end>
      <status xmlns="http://schemas.wps.cn/vas-ai-hub/contract-review">modified</status>
      <modifiedWord xmlns="http://schemas.wps.cn/vas-ai-hub/contract-review">其他约定</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EF769DED-5E6E-41A7-82BA-C4954028CBF8}">
  <ds:schemaRefs/>
</ds:datastoreItem>
</file>

<file path=docProps/app.xml><?xml version="1.0" encoding="utf-8"?>
<Properties xmlns="http://schemas.openxmlformats.org/officeDocument/2006/extended-properties" xmlns:vt="http://schemas.openxmlformats.org/officeDocument/2006/docPropsVTypes">
  <Template>Normal</Template>
  <Pages>9</Pages>
  <Words>8737</Words>
  <Characters>9043</Characters>
  <Paragraphs>213</Paragraphs>
  <TotalTime>2</TotalTime>
  <ScaleCrop>false</ScaleCrop>
  <LinksUpToDate>false</LinksUpToDate>
  <CharactersWithSpaces>9075</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2026-08-01T02:10:00Z</dcterms:created>
  <dc:creator>DELL</dc:creator>
  <cp:lastModifiedBy>admin</cp:lastModifiedBy>
  <dcterms:modified xsi:type="dcterms:W3CDTF">2026-09-23T10:15:58Z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KSOTemplateDocerSaveRecord">
    <vt:lpwstr>eyJoZGlkIjoiMWQ5MzczMDE0ZjIwYmE3NzBmOTdkMTZhNmYxYzZkYmYiLCJ1c2VySWQiOiIzNDQ3MDI4NjQifQ==</vt:lpwstr>
  </property>
  <property fmtid="{D5CDD505-2E9C-101B-9397-08002B2CF9AE}" pid="4" name="ICV">
    <vt:lpwstr>2CDAE6659CEB28C60216B36ABB757FF6_43</vt:lpwstr>
  </property>
</Properties>
</file>