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50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widowControl/>
        <w:spacing w:beforeAutospacing="0" w:afterAutospacing="0" w:line="600" w:lineRule="exact"/>
        <w:jc w:val="center"/>
        <w:rPr>
          <w:rFonts w:ascii="黑体" w:hAnsi="黑体" w:eastAsia="黑体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福州新福兴玻璃科技有公司年产2×8000万平米太阳能光伏压延玻璃项目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信息</w:t>
      </w:r>
    </w:p>
    <w:p/>
    <w:tbl>
      <w:tblPr>
        <w:tblW w:w="14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2524"/>
        <w:gridCol w:w="1316"/>
        <w:gridCol w:w="1594"/>
        <w:gridCol w:w="1701"/>
        <w:gridCol w:w="3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福州新福兴玻璃科技有限公司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9135018105841023X2</w:t>
            </w:r>
          </w:p>
        </w:tc>
        <w:tc>
          <w:tcPr>
            <w:tcW w:w="5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年产2×8000万平米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太阳能光伏压延玻璃项目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生产线规格</w:t>
            </w:r>
            <w:bookmarkStart w:id="0" w:name="_GoBack"/>
            <w:bookmarkEnd w:id="0"/>
          </w:p>
        </w:tc>
        <w:tc>
          <w:tcPr>
            <w:tcW w:w="3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设计产能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（日熔量，吨/日）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计划点火投产时间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福建省福清市江阴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港城经济区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×1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00t/d窑炉及配套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深加工线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×1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00 t/d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2024年3月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企业实力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技术水平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环保水平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能耗水平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注册资本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亿元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国际先进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国际一般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国内先进 □国内一般  </w:t>
            </w:r>
          </w:p>
        </w:tc>
        <w:tc>
          <w:tcPr>
            <w:tcW w:w="32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□国际先进 □国际一般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国内先进 □国内一般  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□国际先进 □国际一般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国内先进 □国内一般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275</Characters>
  <Lines>2</Lines>
  <Paragraphs>1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2022-03-01T06:30:00Z</dcterms:created>
  <dc:creator>zhangbiao</dc:creator>
  <cp:lastModifiedBy>admin</cp:lastModifiedBy>
  <dcterms:modified xsi:type="dcterms:W3CDTF">2022-03-20T09:28:35Z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F8CE8BF86B534DF894619177021442D8</vt:lpwstr>
  </property>
</Properties>
</file>