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40" w:lineRule="auto"/>
        <w:jc w:val="center"/>
        <w:rPr>
          <w:rFonts w:hint="eastAsia" w:ascii="等线" w:hAnsi="等线" w:eastAsia="等线" w:cs="Times New Roman"/>
          <w:b/>
          <w:bCs/>
          <w:kern w:val="0"/>
          <w:sz w:val="28"/>
          <w:szCs w:val="28"/>
          <w:lang w:val="en-US" w:eastAsia="zh-CN" w:bidi="ar-SA"/>
        </w:rPr>
      </w:pPr>
      <w:r>
        <w:rPr>
          <w:rFonts w:hint="eastAsia" w:ascii="等线" w:hAnsi="等线" w:eastAsia="等线" w:cs="Times New Roman"/>
          <w:b/>
          <w:bCs/>
          <w:kern w:val="0"/>
          <w:sz w:val="28"/>
          <w:szCs w:val="28"/>
          <w:lang w:val="en-US" w:eastAsia="zh-CN" w:bidi="ar-SA"/>
        </w:rPr>
        <w:t>福州市无线电管理局2024年无线电监测设施</w:t>
      </w:r>
    </w:p>
    <w:p>
      <w:pPr>
        <w:widowControl/>
        <w:adjustRightInd w:val="0"/>
        <w:snapToGrid w:val="0"/>
        <w:spacing w:after="200" w:line="240" w:lineRule="auto"/>
        <w:jc w:val="center"/>
        <w:rPr>
          <w:rFonts w:hint="eastAsia" w:ascii="等线" w:hAnsi="等线" w:eastAsia="等线" w:cs="Times New Roman"/>
          <w:b/>
          <w:bCs/>
          <w:kern w:val="0"/>
          <w:sz w:val="28"/>
          <w:szCs w:val="28"/>
          <w:lang w:val="en-US" w:eastAsia="zh-CN" w:bidi="ar-SA"/>
        </w:rPr>
      </w:pPr>
      <w:r>
        <w:rPr>
          <w:rFonts w:hint="eastAsia" w:ascii="等线" w:hAnsi="等线" w:eastAsia="等线" w:cs="Times New Roman"/>
          <w:b/>
          <w:bCs/>
          <w:kern w:val="0"/>
          <w:sz w:val="28"/>
          <w:szCs w:val="28"/>
          <w:lang w:val="en-US" w:eastAsia="zh-CN" w:bidi="ar-SA"/>
        </w:rPr>
        <w:t>测试验证项目技术和服务要求</w:t>
      </w:r>
    </w:p>
    <w:p>
      <w:pPr>
        <w:pStyle w:val="3"/>
        <w:widowControl/>
        <w:spacing w:before="0" w:beforeAutospacing="1" w:after="0" w:afterAutospacing="1" w:line="435" w:lineRule="atLeast"/>
        <w:rPr>
          <w:rStyle w:val="6"/>
          <w:rFonts w:ascii="宋体" w:cs="宋体"/>
        </w:rPr>
      </w:pPr>
      <w:r>
        <w:rPr>
          <w:rStyle w:val="6"/>
          <w:rFonts w:hint="eastAsia" w:ascii="宋体" w:hAnsi="宋体" w:cs="宋体"/>
        </w:rPr>
        <w:t>一、（根据本项目实际情况，填写“采购标的”或“项目概况”）</w:t>
      </w:r>
    </w:p>
    <w:p>
      <w:pPr>
        <w:pStyle w:val="3"/>
        <w:widowControl/>
        <w:spacing w:line="435" w:lineRule="atLeast"/>
        <w:ind w:firstLine="420"/>
        <w:jc w:val="both"/>
        <w:rPr>
          <w:rFonts w:ascii="宋体" w:cs="宋体"/>
        </w:rPr>
      </w:pPr>
      <w:r>
        <w:rPr>
          <w:rFonts w:hint="eastAsia" w:ascii="宋体" w:hAnsi="宋体" w:cs="宋体"/>
        </w:rPr>
        <w:t>为保证福州市无线电监测设施的技术保障能力，更有效准确地完成无线电管理工作中的监测技术支持，本项目</w:t>
      </w:r>
      <w:r>
        <w:rPr>
          <w:rFonts w:hint="eastAsia" w:ascii="宋体" w:hAnsi="宋体" w:cs="宋体"/>
          <w:lang w:eastAsia="zh-CN"/>
        </w:rPr>
        <w:t>拟</w:t>
      </w:r>
      <w:r>
        <w:rPr>
          <w:rFonts w:hint="eastAsia" w:ascii="宋体" w:hAnsi="宋体" w:cs="宋体"/>
        </w:rPr>
        <w:t>对福州地区在用的</w:t>
      </w:r>
      <w:r>
        <w:rPr>
          <w:rFonts w:hint="eastAsia" w:ascii="宋体" w:hAnsi="宋体" w:cs="宋体"/>
          <w:highlight w:val="none"/>
          <w:lang w:val="en-US" w:eastAsia="zh-CN"/>
        </w:rPr>
        <w:t>5</w:t>
      </w:r>
      <w:r>
        <w:rPr>
          <w:rFonts w:ascii="宋体" w:hAnsi="宋体" w:cs="宋体"/>
          <w:highlight w:val="none"/>
        </w:rPr>
        <w:t>台四类固定监测站（</w:t>
      </w:r>
      <w:r>
        <w:rPr>
          <w:rFonts w:hint="eastAsia" w:ascii="宋体" w:hAnsi="宋体" w:cs="宋体"/>
          <w:highlight w:val="none"/>
          <w:lang w:eastAsia="zh-CN"/>
        </w:rPr>
        <w:t>市无委楼顶</w:t>
      </w:r>
      <w:r>
        <w:rPr>
          <w:rFonts w:ascii="宋体" w:hAnsi="宋体" w:cs="宋体"/>
          <w:highlight w:val="none"/>
        </w:rPr>
        <w:t>站、</w:t>
      </w:r>
      <w:r>
        <w:rPr>
          <w:rFonts w:hint="eastAsia" w:ascii="宋体" w:hAnsi="宋体" w:cs="宋体"/>
          <w:highlight w:val="none"/>
          <w:lang w:eastAsia="zh-CN"/>
        </w:rPr>
        <w:t>晋安外口公寓</w:t>
      </w:r>
      <w:r>
        <w:rPr>
          <w:rFonts w:hint="eastAsia" w:ascii="宋体" w:hAnsi="宋体" w:cs="宋体"/>
          <w:highlight w:val="none"/>
        </w:rPr>
        <w:t>站、</w:t>
      </w:r>
      <w:r>
        <w:rPr>
          <w:rFonts w:hint="eastAsia" w:ascii="宋体" w:hAnsi="宋体" w:cs="宋体"/>
          <w:highlight w:val="none"/>
          <w:lang w:eastAsia="zh-CN"/>
        </w:rPr>
        <w:t>福清莲峰</w:t>
      </w:r>
      <w:r>
        <w:rPr>
          <w:rFonts w:hint="eastAsia" w:ascii="宋体" w:hAnsi="宋体" w:cs="宋体"/>
          <w:highlight w:val="none"/>
        </w:rPr>
        <w:t>站</w:t>
      </w:r>
      <w:r>
        <w:rPr>
          <w:rFonts w:hint="eastAsia" w:ascii="宋体" w:hAnsi="宋体" w:cs="宋体"/>
          <w:highlight w:val="none"/>
          <w:lang w:eastAsia="zh-CN"/>
        </w:rPr>
        <w:t>、福清后路站、连江海英站</w:t>
      </w:r>
      <w:r>
        <w:rPr>
          <w:rFonts w:hint="eastAsia" w:ascii="宋体" w:hAnsi="宋体" w:cs="宋体"/>
          <w:highlight w:val="none"/>
        </w:rPr>
        <w:t>）</w:t>
      </w:r>
      <w:r>
        <w:rPr>
          <w:rFonts w:hint="eastAsia" w:ascii="宋体" w:hAnsi="宋体" w:cs="宋体"/>
        </w:rPr>
        <w:t>进行测试验证工作，具体安排的被测无线电监测设施可见技术服务要求中的列表。测试方式为各监测设施现场测试或开场测试，</w:t>
      </w:r>
      <w:r>
        <w:rPr>
          <w:rFonts w:hint="eastAsia" w:ascii="宋体" w:hAnsi="宋体" w:cs="宋体"/>
          <w:lang w:eastAsia="zh-CN"/>
        </w:rPr>
        <w:t>具体</w:t>
      </w:r>
      <w:r>
        <w:rPr>
          <w:rFonts w:hint="eastAsia" w:ascii="宋体" w:hAnsi="宋体" w:cs="宋体"/>
        </w:rPr>
        <w:t>测试参数</w:t>
      </w:r>
      <w:r>
        <w:rPr>
          <w:rFonts w:hint="eastAsia" w:ascii="宋体" w:hAnsi="宋体" w:cs="宋体"/>
          <w:lang w:eastAsia="zh-CN"/>
        </w:rPr>
        <w:t>参照</w:t>
      </w:r>
      <w:r>
        <w:rPr>
          <w:rFonts w:hint="eastAsia" w:ascii="宋体" w:hAnsi="宋体" w:cs="宋体"/>
        </w:rPr>
        <w:t>工信部无[2017]283号文的要求。</w:t>
      </w:r>
    </w:p>
    <w:p>
      <w:pPr>
        <w:pStyle w:val="3"/>
        <w:widowControl/>
        <w:spacing w:before="0" w:beforeAutospacing="1" w:after="0" w:afterAutospacing="1" w:line="435" w:lineRule="atLeast"/>
        <w:rPr>
          <w:rStyle w:val="6"/>
          <w:rFonts w:ascii="宋体" w:cs="宋体"/>
        </w:rPr>
      </w:pPr>
      <w:r>
        <w:rPr>
          <w:rStyle w:val="6"/>
          <w:rFonts w:hint="eastAsia" w:ascii="宋体" w:hAnsi="宋体" w:cs="宋体"/>
        </w:rPr>
        <w:t>二、技术和服务要求</w:t>
      </w:r>
    </w:p>
    <w:p>
      <w:pPr>
        <w:pStyle w:val="3"/>
        <w:widowControl/>
        <w:spacing w:line="435" w:lineRule="atLeast"/>
        <w:ind w:firstLine="0"/>
        <w:rPr>
          <w:rStyle w:val="6"/>
          <w:rFonts w:ascii="宋体" w:hAnsi="宋体" w:cs="宋体"/>
        </w:rPr>
      </w:pPr>
      <w:r>
        <w:rPr>
          <w:rStyle w:val="6"/>
          <w:rFonts w:ascii="宋体" w:hAnsi="宋体" w:cs="宋体"/>
        </w:rPr>
        <w:t>1.</w:t>
      </w:r>
      <w:r>
        <w:rPr>
          <w:rStyle w:val="6"/>
          <w:rFonts w:hint="eastAsia" w:ascii="宋体" w:hAnsi="宋体" w:cs="宋体"/>
        </w:rPr>
        <w:t>被测在用无线电监测设施列表</w:t>
      </w:r>
    </w:p>
    <w:p>
      <w:pPr>
        <w:pStyle w:val="3"/>
        <w:widowControl/>
        <w:spacing w:line="435" w:lineRule="atLeast"/>
        <w:ind w:firstLine="420"/>
        <w:rPr>
          <w:rFonts w:hint="eastAsia" w:ascii="宋体" w:hAnsi="宋体" w:cs="宋体"/>
        </w:rPr>
      </w:pPr>
      <w:r>
        <w:rPr>
          <w:rFonts w:hint="eastAsia" w:ascii="宋体" w:hAnsi="宋体" w:cs="宋体"/>
        </w:rPr>
        <w:t>负责完成采购人指定的监测设施的测试验证工作，本次采购安排被测的在用无线电监测设施具体如</w:t>
      </w:r>
      <w:r>
        <w:rPr>
          <w:rFonts w:hint="eastAsia" w:ascii="宋体" w:hAnsi="宋体" w:cs="宋体"/>
          <w:lang w:eastAsia="zh-CN"/>
        </w:rPr>
        <w:t>表</w:t>
      </w:r>
      <w:r>
        <w:rPr>
          <w:rFonts w:hint="eastAsia" w:ascii="宋体" w:hAnsi="宋体" w:cs="宋体"/>
          <w:lang w:val="en-US" w:eastAsia="zh-CN"/>
        </w:rPr>
        <w:t>1所示</w:t>
      </w:r>
      <w:r>
        <w:rPr>
          <w:rFonts w:hint="eastAsia" w:ascii="宋体" w:hAnsi="宋体" w:cs="宋体"/>
        </w:rPr>
        <w:t>：</w:t>
      </w:r>
    </w:p>
    <w:p>
      <w:pPr>
        <w:pStyle w:val="3"/>
        <w:widowControl/>
        <w:spacing w:line="435" w:lineRule="atLeast"/>
        <w:jc w:val="center"/>
        <w:rPr>
          <w:rFonts w:hint="eastAsia" w:ascii="宋体" w:hAnsi="宋体" w:eastAsia="宋体" w:cs="宋体"/>
          <w:lang w:eastAsia="zh-CN"/>
        </w:rPr>
      </w:pPr>
      <w:r>
        <w:rPr>
          <w:rFonts w:hint="eastAsia" w:ascii="宋体" w:hAnsi="宋体" w:cs="宋体"/>
        </w:rPr>
        <w:t>表1  </w:t>
      </w:r>
      <w:r>
        <w:rPr>
          <w:rFonts w:hint="eastAsia" w:ascii="宋体" w:hAnsi="宋体" w:cs="宋体"/>
          <w:lang w:eastAsia="zh-CN"/>
        </w:rPr>
        <w:t>被测在用无线电监测设施列表</w:t>
      </w:r>
    </w:p>
    <w:tbl>
      <w:tblPr>
        <w:tblStyle w:val="4"/>
        <w:tblW w:w="9320" w:type="dxa"/>
        <w:tblCellSpacing w:w="1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2"/>
        <w:gridCol w:w="3368"/>
        <w:gridCol w:w="2432"/>
        <w:gridCol w:w="164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序号</w:t>
            </w:r>
          </w:p>
        </w:tc>
        <w:tc>
          <w:tcPr>
            <w:tcW w:w="3338" w:type="dxa"/>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设施名称</w:t>
            </w:r>
          </w:p>
        </w:tc>
        <w:tc>
          <w:tcPr>
            <w:tcW w:w="2402" w:type="dxa"/>
            <w:vAlign w:val="center"/>
          </w:tcPr>
          <w:p>
            <w:pPr>
              <w:pStyle w:val="3"/>
              <w:widowControl/>
              <w:spacing w:line="435" w:lineRule="atLeast"/>
              <w:jc w:val="center"/>
              <w:rPr>
                <w:rFonts w:ascii="宋体" w:cs="宋体"/>
              </w:rPr>
            </w:pPr>
            <w:r>
              <w:rPr>
                <w:rStyle w:val="6"/>
                <w:rFonts w:hint="eastAsia" w:ascii="宋体" w:hAnsi="宋体" w:cs="宋体"/>
              </w:rPr>
              <w:t>设备型号</w:t>
            </w:r>
          </w:p>
        </w:tc>
        <w:tc>
          <w:tcPr>
            <w:tcW w:w="1612" w:type="dxa"/>
            <w:vAlign w:val="center"/>
          </w:tcPr>
          <w:p>
            <w:pPr>
              <w:pStyle w:val="3"/>
              <w:widowControl/>
              <w:spacing w:line="435" w:lineRule="atLeast"/>
              <w:jc w:val="center"/>
              <w:rPr>
                <w:rFonts w:ascii="宋体" w:cs="宋体"/>
              </w:rPr>
            </w:pPr>
            <w:r>
              <w:rPr>
                <w:rStyle w:val="6"/>
                <w:rFonts w:hint="eastAsia" w:ascii="宋体" w:hAnsi="宋体" w:cs="宋体"/>
              </w:rPr>
              <w:t>频率范围</w:t>
            </w:r>
          </w:p>
        </w:tc>
        <w:tc>
          <w:tcPr>
            <w:tcW w:w="691" w:type="dxa"/>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1</w:t>
            </w:r>
          </w:p>
        </w:tc>
        <w:tc>
          <w:tcPr>
            <w:tcW w:w="3338" w:type="dxa"/>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lang w:eastAsia="zh-CN"/>
              </w:rPr>
              <w:t>市无委楼顶</w:t>
            </w:r>
            <w:r>
              <w:rPr>
                <w:rFonts w:hint="eastAsia" w:ascii="宋体" w:hAnsi="宋体" w:cs="宋体"/>
              </w:rPr>
              <w:t>站</w:t>
            </w:r>
          </w:p>
        </w:tc>
        <w:tc>
          <w:tcPr>
            <w:tcW w:w="2402" w:type="dxa"/>
            <w:vAlign w:val="center"/>
          </w:tcPr>
          <w:p>
            <w:pPr>
              <w:pStyle w:val="3"/>
              <w:widowControl/>
              <w:spacing w:line="435" w:lineRule="atLeast"/>
              <w:jc w:val="center"/>
              <w:rPr>
                <w:rFonts w:ascii="宋体" w:cs="宋体"/>
              </w:rPr>
            </w:pPr>
            <w:r>
              <w:rPr>
                <w:rFonts w:ascii="宋体" w:hAnsi="宋体" w:cs="宋体"/>
              </w:rPr>
              <w:t>R&amp;S EB500</w:t>
            </w:r>
          </w:p>
        </w:tc>
        <w:tc>
          <w:tcPr>
            <w:tcW w:w="1612" w:type="dxa"/>
            <w:vAlign w:val="center"/>
          </w:tcPr>
          <w:p>
            <w:pPr>
              <w:pStyle w:val="3"/>
              <w:widowControl/>
              <w:spacing w:line="435" w:lineRule="atLeast"/>
              <w:jc w:val="center"/>
              <w:rPr>
                <w:rFonts w:ascii="宋体" w:cs="宋体"/>
              </w:rPr>
            </w:pPr>
            <w:r>
              <w:rPr>
                <w:rFonts w:ascii="宋体" w:hAnsi="宋体" w:cs="宋体"/>
              </w:rPr>
              <w:t>20MHz—6GHz</w:t>
            </w:r>
          </w:p>
        </w:tc>
        <w:tc>
          <w:tcPr>
            <w:tcW w:w="691"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2</w:t>
            </w:r>
          </w:p>
        </w:tc>
        <w:tc>
          <w:tcPr>
            <w:tcW w:w="3338" w:type="dxa"/>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lang w:eastAsia="zh-CN"/>
              </w:rPr>
              <w:t>晋安外口公寓</w:t>
            </w:r>
            <w:r>
              <w:rPr>
                <w:rFonts w:hint="eastAsia" w:ascii="宋体" w:hAnsi="宋体" w:cs="宋体"/>
              </w:rPr>
              <w:t>站</w:t>
            </w:r>
          </w:p>
        </w:tc>
        <w:tc>
          <w:tcPr>
            <w:tcW w:w="2402" w:type="dxa"/>
            <w:vAlign w:val="center"/>
          </w:tcPr>
          <w:p>
            <w:pPr>
              <w:pStyle w:val="3"/>
              <w:widowControl/>
              <w:spacing w:line="435" w:lineRule="atLeast"/>
              <w:jc w:val="center"/>
              <w:rPr>
                <w:rFonts w:ascii="宋体" w:cs="宋体"/>
              </w:rPr>
            </w:pPr>
            <w:r>
              <w:rPr>
                <w:rFonts w:ascii="宋体" w:hAnsi="宋体" w:cs="宋体"/>
              </w:rPr>
              <w:t>R&amp;S EB500</w:t>
            </w:r>
          </w:p>
        </w:tc>
        <w:tc>
          <w:tcPr>
            <w:tcW w:w="1612" w:type="dxa"/>
            <w:vAlign w:val="center"/>
          </w:tcPr>
          <w:p>
            <w:pPr>
              <w:pStyle w:val="3"/>
              <w:widowControl/>
              <w:spacing w:line="435" w:lineRule="atLeast"/>
              <w:jc w:val="center"/>
              <w:rPr>
                <w:rFonts w:ascii="宋体" w:cs="宋体"/>
              </w:rPr>
            </w:pPr>
            <w:r>
              <w:rPr>
                <w:rFonts w:ascii="宋体" w:hAnsi="宋体" w:cs="宋体"/>
              </w:rPr>
              <w:t>20MHz—6GHz</w:t>
            </w:r>
          </w:p>
        </w:tc>
        <w:tc>
          <w:tcPr>
            <w:tcW w:w="691"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3</w:t>
            </w:r>
          </w:p>
        </w:tc>
        <w:tc>
          <w:tcPr>
            <w:tcW w:w="3338" w:type="dxa"/>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lang w:eastAsia="zh-CN"/>
              </w:rPr>
              <w:t>福清莲峰站</w:t>
            </w:r>
            <w:r>
              <w:rPr>
                <w:rFonts w:hint="eastAsia" w:ascii="宋体" w:hAnsi="宋体" w:cs="宋体"/>
              </w:rPr>
              <w:t>站</w:t>
            </w:r>
          </w:p>
        </w:tc>
        <w:tc>
          <w:tcPr>
            <w:tcW w:w="2402" w:type="dxa"/>
            <w:vAlign w:val="center"/>
          </w:tcPr>
          <w:p>
            <w:pPr>
              <w:pStyle w:val="3"/>
              <w:widowControl/>
              <w:spacing w:line="435" w:lineRule="atLeast"/>
              <w:jc w:val="center"/>
              <w:rPr>
                <w:rFonts w:ascii="宋体" w:cs="宋体"/>
              </w:rPr>
            </w:pPr>
            <w:r>
              <w:rPr>
                <w:rFonts w:ascii="宋体" w:hAnsi="宋体" w:cs="宋体"/>
              </w:rPr>
              <w:t>R&amp;S EB500</w:t>
            </w:r>
          </w:p>
        </w:tc>
        <w:tc>
          <w:tcPr>
            <w:tcW w:w="1612" w:type="dxa"/>
            <w:vAlign w:val="center"/>
          </w:tcPr>
          <w:p>
            <w:pPr>
              <w:pStyle w:val="3"/>
              <w:widowControl/>
              <w:spacing w:line="435" w:lineRule="atLeast"/>
              <w:jc w:val="center"/>
              <w:rPr>
                <w:rFonts w:ascii="宋体" w:cs="宋体"/>
              </w:rPr>
            </w:pPr>
            <w:r>
              <w:rPr>
                <w:rFonts w:ascii="宋体" w:hAnsi="宋体" w:cs="宋体"/>
              </w:rPr>
              <w:t>20MHz—6GHz</w:t>
            </w:r>
          </w:p>
        </w:tc>
        <w:tc>
          <w:tcPr>
            <w:tcW w:w="691" w:type="dxa"/>
            <w:tcMar>
              <w:top w:w="0" w:type="dxa"/>
              <w:left w:w="90" w:type="dxa"/>
              <w:bottom w:w="0" w:type="dxa"/>
              <w:right w:w="90" w:type="dxa"/>
            </w:tcMar>
            <w:vAlign w:val="center"/>
          </w:tcPr>
          <w:p>
            <w:pPr>
              <w:pStyle w:val="3"/>
              <w:widowControl/>
              <w:spacing w:line="435" w:lineRule="atLeast"/>
              <w:jc w:val="center"/>
              <w:rPr>
                <w:rFonts w:ascii="宋体" w:cs="宋体"/>
              </w:rPr>
            </w:pP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hint="eastAsia" w:ascii="宋体" w:hAnsi="宋体" w:eastAsia="宋体" w:cs="宋体"/>
                <w:lang w:val="en-US" w:eastAsia="zh-CN"/>
              </w:rPr>
            </w:pPr>
            <w:r>
              <w:rPr>
                <w:rFonts w:hint="eastAsia" w:ascii="宋体" w:hAnsi="宋体" w:cs="宋体"/>
                <w:lang w:val="en-US" w:eastAsia="zh-CN"/>
              </w:rPr>
              <w:t>4</w:t>
            </w:r>
          </w:p>
        </w:tc>
        <w:tc>
          <w:tcPr>
            <w:tcW w:w="3338" w:type="dxa"/>
            <w:tcMar>
              <w:top w:w="0" w:type="dxa"/>
              <w:left w:w="90" w:type="dxa"/>
              <w:bottom w:w="0" w:type="dxa"/>
              <w:right w:w="90" w:type="dxa"/>
            </w:tcMar>
            <w:vAlign w:val="center"/>
          </w:tcPr>
          <w:p>
            <w:pPr>
              <w:pStyle w:val="3"/>
              <w:widowControl/>
              <w:spacing w:line="435" w:lineRule="atLeast"/>
              <w:jc w:val="center"/>
              <w:rPr>
                <w:rFonts w:hint="eastAsia" w:ascii="宋体" w:hAnsi="宋体" w:cs="宋体"/>
                <w:lang w:eastAsia="zh-CN"/>
              </w:rPr>
            </w:pPr>
            <w:r>
              <w:rPr>
                <w:rFonts w:hint="eastAsia" w:ascii="宋体" w:hAnsi="宋体" w:cs="宋体"/>
                <w:highlight w:val="none"/>
                <w:lang w:eastAsia="zh-CN"/>
              </w:rPr>
              <w:t>福清后路站</w:t>
            </w:r>
          </w:p>
        </w:tc>
        <w:tc>
          <w:tcPr>
            <w:tcW w:w="2402" w:type="dxa"/>
            <w:vAlign w:val="center"/>
          </w:tcPr>
          <w:p>
            <w:pPr>
              <w:pStyle w:val="3"/>
              <w:widowControl/>
              <w:spacing w:line="435" w:lineRule="atLeast"/>
              <w:jc w:val="center"/>
              <w:rPr>
                <w:rFonts w:ascii="宋体" w:hAnsi="宋体" w:cs="宋体"/>
              </w:rPr>
            </w:pPr>
            <w:r>
              <w:rPr>
                <w:rFonts w:ascii="宋体" w:hAnsi="宋体" w:cs="宋体"/>
              </w:rPr>
              <w:t>R&amp;S EB500</w:t>
            </w:r>
          </w:p>
        </w:tc>
        <w:tc>
          <w:tcPr>
            <w:tcW w:w="1612" w:type="dxa"/>
            <w:vAlign w:val="center"/>
          </w:tcPr>
          <w:p>
            <w:pPr>
              <w:pStyle w:val="3"/>
              <w:widowControl/>
              <w:spacing w:line="435" w:lineRule="atLeast"/>
              <w:jc w:val="center"/>
              <w:rPr>
                <w:rFonts w:ascii="宋体" w:hAnsi="宋体" w:cs="宋体"/>
              </w:rPr>
            </w:pPr>
            <w:r>
              <w:rPr>
                <w:rFonts w:ascii="宋体" w:hAnsi="宋体" w:cs="宋体"/>
              </w:rPr>
              <w:t>20MHz—6GHz</w:t>
            </w:r>
          </w:p>
        </w:tc>
        <w:tc>
          <w:tcPr>
            <w:tcW w:w="691" w:type="dxa"/>
            <w:tcMar>
              <w:top w:w="0" w:type="dxa"/>
              <w:left w:w="90" w:type="dxa"/>
              <w:bottom w:w="0" w:type="dxa"/>
              <w:right w:w="90" w:type="dxa"/>
            </w:tcMar>
            <w:vAlign w:val="center"/>
          </w:tcPr>
          <w:p>
            <w:pPr>
              <w:pStyle w:val="3"/>
              <w:widowControl/>
              <w:spacing w:line="435" w:lineRule="atLeast"/>
              <w:jc w:val="center"/>
              <w:rPr>
                <w:rFonts w:ascii="宋体" w:hAnsi="宋体" w:cs="宋体"/>
              </w:rPr>
            </w:pP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097" w:type="dxa"/>
            <w:tcMar>
              <w:top w:w="0" w:type="dxa"/>
              <w:left w:w="90" w:type="dxa"/>
              <w:bottom w:w="0" w:type="dxa"/>
              <w:right w:w="90" w:type="dxa"/>
            </w:tcMar>
            <w:vAlign w:val="center"/>
          </w:tcPr>
          <w:p>
            <w:pPr>
              <w:pStyle w:val="3"/>
              <w:widowControl/>
              <w:spacing w:line="435" w:lineRule="atLeast"/>
              <w:jc w:val="center"/>
              <w:rPr>
                <w:rFonts w:hint="eastAsia" w:ascii="宋体" w:hAnsi="宋体" w:eastAsia="宋体" w:cs="宋体"/>
                <w:lang w:val="en-US" w:eastAsia="zh-CN"/>
              </w:rPr>
            </w:pPr>
            <w:r>
              <w:rPr>
                <w:rFonts w:hint="eastAsia" w:ascii="宋体" w:hAnsi="宋体" w:cs="宋体"/>
                <w:lang w:val="en-US" w:eastAsia="zh-CN"/>
              </w:rPr>
              <w:t>5</w:t>
            </w:r>
          </w:p>
        </w:tc>
        <w:tc>
          <w:tcPr>
            <w:tcW w:w="3338" w:type="dxa"/>
            <w:tcMar>
              <w:top w:w="0" w:type="dxa"/>
              <w:left w:w="90" w:type="dxa"/>
              <w:bottom w:w="0" w:type="dxa"/>
              <w:right w:w="90" w:type="dxa"/>
            </w:tcMar>
            <w:vAlign w:val="center"/>
          </w:tcPr>
          <w:p>
            <w:pPr>
              <w:pStyle w:val="3"/>
              <w:widowControl/>
              <w:spacing w:line="435" w:lineRule="atLeast"/>
              <w:jc w:val="center"/>
              <w:rPr>
                <w:rFonts w:hint="eastAsia" w:ascii="宋体" w:hAnsi="宋体" w:cs="宋体"/>
                <w:lang w:eastAsia="zh-CN"/>
              </w:rPr>
            </w:pPr>
            <w:r>
              <w:rPr>
                <w:rFonts w:hint="eastAsia" w:ascii="宋体" w:hAnsi="宋体" w:cs="宋体"/>
                <w:highlight w:val="none"/>
                <w:lang w:eastAsia="zh-CN"/>
              </w:rPr>
              <w:t>连江海英站</w:t>
            </w:r>
          </w:p>
        </w:tc>
        <w:tc>
          <w:tcPr>
            <w:tcW w:w="2402" w:type="dxa"/>
            <w:vAlign w:val="center"/>
          </w:tcPr>
          <w:p>
            <w:pPr>
              <w:pStyle w:val="3"/>
              <w:widowControl/>
              <w:spacing w:line="435" w:lineRule="atLeast"/>
              <w:jc w:val="center"/>
              <w:rPr>
                <w:rFonts w:ascii="宋体" w:hAnsi="宋体" w:cs="宋体"/>
              </w:rPr>
            </w:pPr>
            <w:r>
              <w:rPr>
                <w:rFonts w:ascii="宋体" w:hAnsi="宋体" w:cs="宋体"/>
              </w:rPr>
              <w:t>R&amp;S EB500</w:t>
            </w:r>
          </w:p>
        </w:tc>
        <w:tc>
          <w:tcPr>
            <w:tcW w:w="1612" w:type="dxa"/>
            <w:vAlign w:val="center"/>
          </w:tcPr>
          <w:p>
            <w:pPr>
              <w:pStyle w:val="3"/>
              <w:widowControl/>
              <w:spacing w:line="435" w:lineRule="atLeast"/>
              <w:jc w:val="center"/>
              <w:rPr>
                <w:rFonts w:ascii="宋体" w:hAnsi="宋体" w:cs="宋体"/>
              </w:rPr>
            </w:pPr>
            <w:r>
              <w:rPr>
                <w:rFonts w:ascii="宋体" w:hAnsi="宋体" w:cs="宋体"/>
              </w:rPr>
              <w:t>20MHz—6GHz</w:t>
            </w:r>
          </w:p>
        </w:tc>
        <w:tc>
          <w:tcPr>
            <w:tcW w:w="691" w:type="dxa"/>
            <w:tcMar>
              <w:top w:w="0" w:type="dxa"/>
              <w:left w:w="90" w:type="dxa"/>
              <w:bottom w:w="0" w:type="dxa"/>
              <w:right w:w="90" w:type="dxa"/>
            </w:tcMar>
            <w:vAlign w:val="center"/>
          </w:tcPr>
          <w:p>
            <w:pPr>
              <w:pStyle w:val="3"/>
              <w:widowControl/>
              <w:spacing w:line="435" w:lineRule="atLeast"/>
              <w:jc w:val="center"/>
              <w:rPr>
                <w:rFonts w:ascii="宋体" w:hAnsi="宋体" w:cs="宋体"/>
              </w:rPr>
            </w:pPr>
            <w:r>
              <w:rPr>
                <w:rFonts w:ascii="宋体" w:hAnsi="宋体" w:cs="宋体"/>
              </w:rPr>
              <w:t>1</w:t>
            </w:r>
          </w:p>
        </w:tc>
      </w:tr>
    </w:tbl>
    <w:p>
      <w:pPr>
        <w:pStyle w:val="3"/>
        <w:widowControl/>
        <w:spacing w:line="435" w:lineRule="atLeast"/>
        <w:rPr>
          <w:rStyle w:val="6"/>
          <w:rFonts w:ascii="宋体" w:hAnsi="宋体" w:cs="宋体"/>
        </w:rPr>
      </w:pPr>
      <w:r>
        <w:rPr>
          <w:rStyle w:val="6"/>
          <w:rFonts w:ascii="宋体" w:hAnsi="宋体" w:cs="宋体"/>
        </w:rPr>
        <w:t>2.测试项目及要求</w:t>
      </w:r>
    </w:p>
    <w:p>
      <w:pPr>
        <w:pStyle w:val="3"/>
        <w:widowControl/>
        <w:spacing w:line="435" w:lineRule="atLeast"/>
        <w:rPr>
          <w:rFonts w:ascii="宋体" w:hAnsi="宋体" w:cs="宋体"/>
        </w:rPr>
      </w:pPr>
      <w:r>
        <w:rPr>
          <w:rFonts w:hint="eastAsia" w:ascii="宋体" w:hAnsi="宋体" w:cs="宋体"/>
        </w:rPr>
        <w:t>测试项目及参考标准见下表。</w:t>
      </w:r>
    </w:p>
    <w:p>
      <w:pPr>
        <w:pStyle w:val="3"/>
        <w:widowControl/>
        <w:spacing w:line="435" w:lineRule="atLeast"/>
        <w:jc w:val="center"/>
        <w:rPr>
          <w:rFonts w:ascii="宋体" w:cs="宋体"/>
        </w:rPr>
      </w:pPr>
      <w:r>
        <w:rPr>
          <w:rFonts w:hint="eastAsia" w:ascii="宋体" w:hAnsi="宋体" w:cs="宋体"/>
        </w:rPr>
        <w:t>表1  </w:t>
      </w:r>
      <w:r>
        <w:rPr>
          <w:rFonts w:hint="eastAsia" w:ascii="宋体" w:hAnsi="宋体" w:cs="宋体"/>
          <w:lang w:eastAsia="zh-CN"/>
        </w:rPr>
        <w:t>四类</w:t>
      </w:r>
      <w:r>
        <w:rPr>
          <w:rFonts w:hint="eastAsia" w:ascii="宋体" w:hAnsi="宋体" w:cs="宋体"/>
        </w:rPr>
        <w:t>固定监测站测试项目</w:t>
      </w:r>
    </w:p>
    <w:tbl>
      <w:tblPr>
        <w:tblStyle w:val="4"/>
        <w:tblW w:w="9315"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24"/>
        <w:gridCol w:w="1498"/>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序号</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固定监测站测试项目</w:t>
            </w:r>
          </w:p>
        </w:tc>
        <w:tc>
          <w:tcPr>
            <w:tcW w:w="1468"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测试方式</w:t>
            </w:r>
          </w:p>
        </w:tc>
        <w:tc>
          <w:tcPr>
            <w:tcW w:w="482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Style w:val="6"/>
                <w:rFonts w:hint="eastAsia" w:ascii="宋体" w:hAnsi="宋体" w:cs="宋体"/>
              </w:rPr>
              <w:t>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1</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ascii="宋体" w:cs="宋体"/>
              </w:rPr>
            </w:pPr>
            <w:r>
              <w:rPr>
                <w:rFonts w:hint="eastAsia" w:ascii="宋体" w:hAnsi="宋体" w:cs="宋体"/>
              </w:rPr>
              <w:t>驻波比</w:t>
            </w:r>
          </w:p>
        </w:tc>
        <w:tc>
          <w:tcPr>
            <w:tcW w:w="1468" w:type="dxa"/>
            <w:vMerge w:val="restart"/>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现场测试</w:t>
            </w:r>
          </w:p>
        </w:tc>
        <w:tc>
          <w:tcPr>
            <w:tcW w:w="4824" w:type="dxa"/>
            <w:vMerge w:val="restart"/>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hint="eastAsia" w:ascii="宋体" w:hAnsi="宋体" w:cs="宋体"/>
                <w:lang w:eastAsia="zh-CN"/>
              </w:rPr>
            </w:pPr>
            <w:r>
              <w:rPr>
                <w:rFonts w:hint="eastAsia" w:ascii="宋体" w:hAnsi="宋体" w:cs="宋体"/>
              </w:rPr>
              <w:t>《VHF/UHF频段无线电监测接收机技术要求及测试方法》（GB/T 32401-2015）</w:t>
            </w:r>
            <w:r>
              <w:rPr>
                <w:rFonts w:hint="eastAsia" w:ascii="宋体" w:hAnsi="宋体" w:cs="宋体"/>
                <w:lang w:eastAsia="zh-CN"/>
              </w:rPr>
              <w:t>；</w:t>
            </w:r>
          </w:p>
          <w:p>
            <w:pPr>
              <w:pStyle w:val="3"/>
              <w:widowControl/>
              <w:spacing w:line="435" w:lineRule="atLeast"/>
              <w:rPr>
                <w:rFonts w:hint="eastAsia" w:ascii="宋体" w:hAnsi="宋体" w:cs="宋体"/>
                <w:lang w:eastAsia="zh-CN"/>
              </w:rPr>
            </w:pPr>
            <w:r>
              <w:rPr>
                <w:rFonts w:hint="eastAsia" w:ascii="宋体" w:hAnsi="宋体" w:cs="宋体"/>
                <w:lang w:eastAsia="zh-CN"/>
              </w:rPr>
              <w:t>《无线电监测设施测试验证工作规定（试行）》（工信部无</w:t>
            </w:r>
            <w:r>
              <w:rPr>
                <w:rFonts w:hint="eastAsia" w:ascii="宋体" w:hAnsi="宋体" w:eastAsia="宋体" w:cs="宋体"/>
                <w:lang w:eastAsia="zh-CN"/>
              </w:rPr>
              <w:t>〔</w:t>
            </w:r>
            <w:r>
              <w:rPr>
                <w:rFonts w:hint="eastAsia" w:ascii="宋体" w:hAnsi="宋体" w:cs="宋体"/>
                <w:lang w:val="en-US" w:eastAsia="zh-CN"/>
              </w:rPr>
              <w:t>2017</w:t>
            </w:r>
            <w:r>
              <w:rPr>
                <w:rFonts w:hint="eastAsia" w:ascii="宋体" w:hAnsi="宋体" w:eastAsia="宋体" w:cs="宋体"/>
                <w:lang w:eastAsia="zh-CN"/>
              </w:rPr>
              <w:t>〕</w:t>
            </w:r>
            <w:r>
              <w:rPr>
                <w:rFonts w:hint="eastAsia" w:ascii="宋体" w:hAnsi="宋体" w:cs="宋体"/>
                <w:lang w:val="en-US" w:eastAsia="zh-CN"/>
              </w:rPr>
              <w:t>283号</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2</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ascii="宋体" w:cs="宋体"/>
              </w:rPr>
            </w:pPr>
            <w:r>
              <w:rPr>
                <w:rFonts w:hint="eastAsia" w:ascii="宋体" w:hAnsi="宋体" w:cs="宋体"/>
              </w:rPr>
              <w:t>监测灵敏度</w:t>
            </w: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4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3</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hint="eastAsia" w:ascii="宋体" w:eastAsia="宋体" w:cs="宋体"/>
                <w:lang w:eastAsia="zh-CN"/>
              </w:rPr>
            </w:pPr>
            <w:r>
              <w:rPr>
                <w:rFonts w:hint="eastAsia" w:ascii="宋体" w:hAnsi="宋体" w:cs="宋体"/>
              </w:rPr>
              <w:t>电平测量</w:t>
            </w:r>
            <w:r>
              <w:rPr>
                <w:rFonts w:hint="eastAsia" w:ascii="宋体" w:hAnsi="宋体" w:cs="宋体"/>
                <w:lang w:eastAsia="zh-CN"/>
              </w:rPr>
              <w:t>误差</w:t>
            </w: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4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4</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ascii="宋体" w:cs="宋体"/>
              </w:rPr>
            </w:pPr>
            <w:r>
              <w:rPr>
                <w:rFonts w:hint="eastAsia" w:ascii="宋体" w:hAnsi="宋体" w:cs="宋体"/>
              </w:rPr>
              <w:t>频率准确度</w:t>
            </w: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4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5</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ascii="宋体" w:cs="宋体"/>
              </w:rPr>
            </w:pPr>
            <w:r>
              <w:rPr>
                <w:rFonts w:hint="eastAsia" w:ascii="宋体" w:hAnsi="宋体" w:cs="宋体"/>
              </w:rPr>
              <w:t>接收机杂散发射</w:t>
            </w: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4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15" w:type="dxa"/>
        </w:trPr>
        <w:tc>
          <w:tcPr>
            <w:tcW w:w="879"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jc w:val="center"/>
              <w:rPr>
                <w:rFonts w:ascii="宋体" w:cs="宋体"/>
              </w:rPr>
            </w:pPr>
            <w:r>
              <w:rPr>
                <w:rFonts w:hint="eastAsia" w:ascii="宋体" w:hAnsi="宋体" w:cs="宋体"/>
              </w:rPr>
              <w:t>6</w:t>
            </w:r>
          </w:p>
        </w:tc>
        <w:tc>
          <w:tcPr>
            <w:tcW w:w="1994" w:type="dxa"/>
            <w:tcBorders>
              <w:top w:val="single" w:color="auto" w:sz="4" w:space="0"/>
              <w:left w:val="single" w:color="auto" w:sz="4" w:space="0"/>
              <w:bottom w:val="single" w:color="auto" w:sz="4" w:space="0"/>
              <w:right w:val="single" w:color="auto" w:sz="4" w:space="0"/>
            </w:tcBorders>
            <w:tcMar>
              <w:top w:w="0" w:type="dxa"/>
              <w:left w:w="90" w:type="dxa"/>
              <w:bottom w:w="0" w:type="dxa"/>
              <w:right w:w="90" w:type="dxa"/>
            </w:tcMar>
            <w:vAlign w:val="center"/>
          </w:tcPr>
          <w:p>
            <w:pPr>
              <w:pStyle w:val="3"/>
              <w:widowControl/>
              <w:spacing w:line="435" w:lineRule="atLeast"/>
              <w:rPr>
                <w:rFonts w:ascii="宋体" w:cs="宋体"/>
              </w:rPr>
            </w:pPr>
            <w:r>
              <w:rPr>
                <w:rFonts w:hint="eastAsia" w:ascii="宋体" w:hAnsi="宋体" w:cs="宋体"/>
              </w:rPr>
              <w:t>扫描速度</w:t>
            </w: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4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r>
    </w:tbl>
    <w:p>
      <w:pPr>
        <w:pStyle w:val="3"/>
        <w:widowControl/>
        <w:numPr>
          <w:ilvl w:val="0"/>
          <w:numId w:val="1"/>
        </w:numPr>
        <w:spacing w:line="435" w:lineRule="atLeast"/>
        <w:rPr>
          <w:rStyle w:val="6"/>
          <w:rFonts w:hint="eastAsia" w:ascii="宋体" w:hAnsi="宋体" w:cs="宋体"/>
          <w:lang w:eastAsia="zh-CN"/>
        </w:rPr>
      </w:pPr>
      <w:r>
        <w:rPr>
          <w:rStyle w:val="6"/>
          <w:rFonts w:hint="eastAsia" w:ascii="宋体" w:hAnsi="宋体" w:cs="宋体"/>
          <w:lang w:eastAsia="zh-CN"/>
        </w:rPr>
        <w:t>投标人要求</w:t>
      </w:r>
    </w:p>
    <w:p>
      <w:pPr>
        <w:pStyle w:val="3"/>
        <w:widowControl/>
        <w:numPr>
          <w:numId w:val="0"/>
        </w:numPr>
        <w:spacing w:line="435" w:lineRule="atLeast"/>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rPr>
        <w:t>（1）</w:t>
      </w:r>
      <w:r>
        <w:rPr>
          <w:rFonts w:hint="eastAsia" w:ascii="宋体" w:hAnsi="宋体" w:cs="宋体"/>
          <w:lang w:eastAsia="zh-CN"/>
        </w:rPr>
        <w:t>供应商</w:t>
      </w:r>
      <w:bookmarkStart w:id="0" w:name="_GoBack"/>
      <w:bookmarkEnd w:id="0"/>
      <w:r>
        <w:rPr>
          <w:rFonts w:hint="eastAsia" w:ascii="宋体" w:hAnsi="宋体" w:eastAsia="宋体" w:cs="宋体"/>
          <w:kern w:val="0"/>
          <w:sz w:val="24"/>
          <w:szCs w:val="24"/>
          <w:highlight w:val="none"/>
          <w:lang w:eastAsia="zh-CN"/>
        </w:rPr>
        <w:t>需获得中国合格评定国家认可委员会（</w:t>
      </w:r>
      <w:r>
        <w:rPr>
          <w:rFonts w:hint="eastAsia" w:ascii="宋体" w:hAnsi="宋体" w:eastAsia="宋体" w:cs="宋体"/>
          <w:kern w:val="0"/>
          <w:sz w:val="24"/>
          <w:szCs w:val="24"/>
          <w:highlight w:val="none"/>
          <w:lang w:val="en-US" w:eastAsia="zh-CN"/>
        </w:rPr>
        <w:t>CNAS）和中国计量认证（CMA）资格，测试验证能力范围包含本规定提出的相关技术标准和测试项目，并能及时将今后的涉及无线电监测设施测试验证工作相关技术标准纳入其相应测试验证能力范围。</w:t>
      </w:r>
    </w:p>
    <w:p>
      <w:pPr>
        <w:pStyle w:val="3"/>
        <w:widowControl/>
        <w:spacing w:line="435" w:lineRule="atLeast"/>
        <w:ind w:firstLine="420"/>
        <w:rPr>
          <w:rFonts w:asci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）供应商未与被测试无线电监测设施的制造商、供货商、集成商等存在直接利益关联或利益输送。</w:t>
      </w:r>
      <w:r>
        <w:rPr>
          <w:rStyle w:val="6"/>
          <w:rFonts w:hint="eastAsia" w:ascii="宋体" w:hAnsi="宋体" w:cs="宋体"/>
        </w:rPr>
        <w:t>（须提供承诺函，格式自拟）</w:t>
      </w:r>
    </w:p>
    <w:p>
      <w:pPr>
        <w:pStyle w:val="3"/>
        <w:widowControl/>
        <w:spacing w:line="435" w:lineRule="atLeast"/>
        <w:ind w:firstLine="420"/>
        <w:rPr>
          <w:rFonts w:hint="eastAsia" w:ascii="宋体" w:hAnsi="宋体" w:eastAsia="宋体" w:cs="宋体"/>
          <w:kern w:val="0"/>
          <w:sz w:val="24"/>
          <w:szCs w:val="24"/>
          <w:highlight w:val="none"/>
          <w:lang w:val="en-US" w:eastAsia="zh-CN"/>
        </w:rPr>
      </w:pPr>
      <w:r>
        <w:rPr>
          <w:rFonts w:hint="eastAsia" w:ascii="宋体" w:hAnsi="宋体" w:cs="宋体"/>
        </w:rPr>
        <w:t>（</w:t>
      </w:r>
      <w:r>
        <w:rPr>
          <w:rFonts w:hint="eastAsia" w:ascii="宋体" w:hAnsi="宋体" w:cs="宋体"/>
          <w:lang w:val="en-US" w:eastAsia="zh-CN"/>
        </w:rPr>
        <w:t>3</w:t>
      </w:r>
      <w:r>
        <w:rPr>
          <w:rFonts w:hint="eastAsia" w:ascii="宋体" w:hAnsi="宋体" w:cs="宋体"/>
        </w:rPr>
        <w:t>）供应商能够独立承担无线电监测设施的测试验证工作，具有详细的测试验证操作流程和完善的作业指导书</w:t>
      </w:r>
      <w:r>
        <w:rPr>
          <w:rStyle w:val="6"/>
          <w:rFonts w:hint="eastAsia" w:ascii="宋体" w:hAnsi="宋体" w:cs="宋体"/>
        </w:rPr>
        <w:t>（须提供</w:t>
      </w:r>
      <w:r>
        <w:rPr>
          <w:rStyle w:val="6"/>
          <w:rFonts w:hint="eastAsia" w:ascii="宋体" w:hAnsi="宋体" w:cs="宋体"/>
          <w:lang w:eastAsia="zh-CN"/>
        </w:rPr>
        <w:t>相关纸质及电子文档</w:t>
      </w:r>
      <w:r>
        <w:rPr>
          <w:rStyle w:val="6"/>
          <w:rFonts w:hint="eastAsia" w:ascii="宋体" w:hAnsi="宋体" w:cs="宋体"/>
        </w:rPr>
        <w:t>）</w:t>
      </w:r>
      <w:r>
        <w:rPr>
          <w:rFonts w:hint="eastAsia" w:ascii="宋体" w:hAnsi="宋体" w:cs="宋体"/>
        </w:rPr>
        <w:t>。</w:t>
      </w:r>
    </w:p>
    <w:p>
      <w:pPr>
        <w:pStyle w:val="3"/>
        <w:widowControl/>
        <w:numPr>
          <w:numId w:val="0"/>
        </w:numPr>
        <w:spacing w:line="435" w:lineRule="atLeast"/>
        <w:rPr>
          <w:rFonts w:ascii="宋体" w:cs="宋体"/>
        </w:rPr>
      </w:pPr>
      <w:r>
        <w:rPr>
          <w:rStyle w:val="6"/>
          <w:rFonts w:hint="eastAsia" w:ascii="宋体" w:hAnsi="宋体" w:cs="宋体"/>
          <w:lang w:val="en-US" w:eastAsia="zh-CN"/>
        </w:rPr>
        <w:t>4</w:t>
      </w:r>
      <w:r>
        <w:rPr>
          <w:rStyle w:val="6"/>
          <w:rFonts w:hint="eastAsia" w:ascii="宋体" w:hAnsi="宋体" w:cs="宋体"/>
        </w:rPr>
        <w:t>. 质量保障</w:t>
      </w:r>
    </w:p>
    <w:p>
      <w:pPr>
        <w:pStyle w:val="3"/>
        <w:widowControl/>
        <w:spacing w:line="435" w:lineRule="atLeast"/>
        <w:ind w:firstLine="420"/>
        <w:rPr>
          <w:rFonts w:ascii="宋体" w:cs="宋体"/>
        </w:rPr>
      </w:pPr>
      <w:r>
        <w:rPr>
          <w:rFonts w:hint="eastAsia" w:ascii="宋体" w:hAnsi="宋体" w:cs="宋体"/>
        </w:rPr>
        <w:t>供应商应保证测试验证工作的质量，工作内容应纳入供应商自身质量管理体系管理，从质量策划、组织架构资源、流程管控、输入输出管控、方法改进等多个方面保证测试工作满足采购人需求。</w:t>
      </w:r>
    </w:p>
    <w:p>
      <w:pPr>
        <w:pStyle w:val="3"/>
        <w:widowControl/>
        <w:spacing w:line="435" w:lineRule="atLeast"/>
        <w:rPr>
          <w:rFonts w:ascii="宋体" w:cs="宋体"/>
        </w:rPr>
      </w:pPr>
      <w:r>
        <w:rPr>
          <w:rStyle w:val="6"/>
          <w:rFonts w:hint="eastAsia" w:ascii="宋体" w:hAnsi="宋体" w:cs="宋体"/>
          <w:lang w:val="en-US" w:eastAsia="zh-CN"/>
        </w:rPr>
        <w:t>5</w:t>
      </w:r>
      <w:r>
        <w:rPr>
          <w:rStyle w:val="6"/>
          <w:rFonts w:hint="eastAsia" w:ascii="宋体" w:hAnsi="宋体" w:cs="宋体"/>
        </w:rPr>
        <w:t>. 测试人员要求</w:t>
      </w:r>
    </w:p>
    <w:p>
      <w:pPr>
        <w:pStyle w:val="3"/>
        <w:widowControl/>
        <w:spacing w:line="435" w:lineRule="atLeast"/>
        <w:ind w:firstLine="420"/>
        <w:jc w:val="both"/>
        <w:rPr>
          <w:rFonts w:ascii="宋体" w:cs="宋体"/>
        </w:rPr>
      </w:pPr>
      <w:r>
        <w:rPr>
          <w:rFonts w:hint="eastAsia" w:ascii="宋体" w:hAnsi="宋体" w:cs="宋体"/>
        </w:rPr>
        <w:t>为做好测试验证工作，供应商应派出专业的测试人员，具体要求如下：</w:t>
      </w:r>
    </w:p>
    <w:p>
      <w:pPr>
        <w:pStyle w:val="3"/>
        <w:widowControl/>
        <w:spacing w:line="435" w:lineRule="atLeast"/>
        <w:ind w:firstLine="420"/>
        <w:jc w:val="both"/>
        <w:rPr>
          <w:rFonts w:ascii="宋体" w:cs="宋体"/>
        </w:rPr>
      </w:pPr>
      <w:r>
        <w:rPr>
          <w:rFonts w:hint="eastAsia" w:ascii="宋体" w:hAnsi="宋体" w:cs="宋体"/>
        </w:rPr>
        <w:t>(1)供应商应成立专门服务于本项目的项目组，固定项目组人员，对采购人提供支持，项目组成员联系方式应全部提供给采购人</w:t>
      </w:r>
      <w:r>
        <w:rPr>
          <w:rStyle w:val="6"/>
          <w:rFonts w:hint="eastAsia" w:ascii="宋体" w:hAnsi="宋体" w:cs="宋体"/>
        </w:rPr>
        <w:t>（须提供项目组人员名单及联系方式）</w:t>
      </w:r>
      <w:r>
        <w:rPr>
          <w:rFonts w:hint="eastAsia" w:ascii="宋体" w:hAnsi="宋体" w:cs="宋体"/>
        </w:rPr>
        <w:t>；</w:t>
      </w:r>
    </w:p>
    <w:p>
      <w:pPr>
        <w:pStyle w:val="3"/>
        <w:widowControl/>
        <w:spacing w:line="435" w:lineRule="atLeast"/>
        <w:ind w:firstLine="420"/>
        <w:jc w:val="both"/>
        <w:rPr>
          <w:rFonts w:ascii="宋体" w:cs="宋体"/>
        </w:rPr>
      </w:pPr>
      <w:r>
        <w:rPr>
          <w:rFonts w:hint="eastAsia" w:ascii="宋体" w:hAnsi="宋体" w:cs="宋体"/>
        </w:rPr>
        <w:t>(2)供应商须给出确定的项目经理人，并承诺在成交后，实际项目开展时由此确定人选担任本项目的项目经理，未经采购人许可不得随意更换，若因特殊原因需调整，需经采购人同意</w:t>
      </w:r>
      <w:r>
        <w:rPr>
          <w:rStyle w:val="6"/>
          <w:rFonts w:hint="eastAsia" w:ascii="宋体" w:hAnsi="宋体" w:cs="宋体"/>
        </w:rPr>
        <w:t>（须提供项目经理相关信息及承诺函，格式自拟）；</w:t>
      </w:r>
    </w:p>
    <w:p>
      <w:pPr>
        <w:pStyle w:val="3"/>
        <w:widowControl/>
        <w:spacing w:line="435" w:lineRule="atLeast"/>
        <w:ind w:firstLine="420"/>
        <w:jc w:val="both"/>
        <w:rPr>
          <w:rFonts w:ascii="宋体" w:cs="宋体"/>
        </w:rPr>
      </w:pPr>
      <w:r>
        <w:rPr>
          <w:rFonts w:hint="eastAsia" w:ascii="宋体" w:hAnsi="宋体" w:cs="宋体"/>
        </w:rPr>
        <w:t>(3)采购人有权要求供应商更换不称职的测试人员，供应商在接到采购人通知后10个工作日内完成技术服务人员的更换。</w:t>
      </w:r>
    </w:p>
    <w:p>
      <w:pPr>
        <w:pStyle w:val="3"/>
        <w:widowControl/>
        <w:spacing w:line="435" w:lineRule="atLeast"/>
        <w:rPr>
          <w:rFonts w:ascii="宋体" w:cs="宋体"/>
        </w:rPr>
      </w:pPr>
      <w:r>
        <w:rPr>
          <w:rStyle w:val="6"/>
          <w:rFonts w:hint="eastAsia" w:ascii="宋体" w:hAnsi="宋体" w:cs="宋体"/>
          <w:lang w:val="en-US" w:eastAsia="zh-CN"/>
        </w:rPr>
        <w:t>6</w:t>
      </w:r>
      <w:r>
        <w:rPr>
          <w:rStyle w:val="6"/>
          <w:rFonts w:hint="eastAsia" w:ascii="宋体" w:hAnsi="宋体" w:cs="宋体"/>
        </w:rPr>
        <w:t>.测试系统要求</w:t>
      </w:r>
    </w:p>
    <w:p>
      <w:pPr>
        <w:pStyle w:val="3"/>
        <w:widowControl/>
        <w:spacing w:line="435" w:lineRule="atLeast"/>
        <w:ind w:firstLine="420"/>
        <w:rPr>
          <w:rFonts w:ascii="宋体" w:cs="宋体"/>
        </w:rPr>
      </w:pPr>
      <w:r>
        <w:rPr>
          <w:rFonts w:hint="eastAsia" w:ascii="宋体" w:hAnsi="宋体" w:cs="宋体"/>
        </w:rPr>
        <w:t>供应商用于测试验证的测试系统（含仪器仪表等）应满足如下要求：</w:t>
      </w:r>
    </w:p>
    <w:p>
      <w:pPr>
        <w:pStyle w:val="3"/>
        <w:widowControl/>
        <w:spacing w:line="435" w:lineRule="atLeast"/>
        <w:ind w:firstLine="420"/>
        <w:jc w:val="both"/>
        <w:rPr>
          <w:rFonts w:ascii="宋体" w:cs="宋体"/>
        </w:rPr>
      </w:pPr>
      <w:r>
        <w:rPr>
          <w:rFonts w:hint="eastAsia" w:ascii="宋体" w:hAnsi="宋体" w:cs="宋体"/>
        </w:rPr>
        <w:t>（1）测试系统包括信号发射器、馈线、频谱仪、天馈测试仪等。</w:t>
      </w:r>
    </w:p>
    <w:p>
      <w:pPr>
        <w:pStyle w:val="3"/>
        <w:widowControl/>
        <w:spacing w:line="435" w:lineRule="atLeast"/>
        <w:ind w:firstLine="420"/>
        <w:jc w:val="both"/>
        <w:rPr>
          <w:rFonts w:ascii="宋体" w:cs="宋体"/>
        </w:rPr>
      </w:pPr>
      <w:r>
        <w:rPr>
          <w:rFonts w:hint="eastAsia" w:ascii="宋体" w:hAnsi="宋体" w:cs="宋体"/>
        </w:rPr>
        <w:t>（2）所使用的测试设备和仪器仪表的频率范围、功率容量、输出功率、信号类型等应满足按标准进行测试的要求。</w:t>
      </w:r>
    </w:p>
    <w:p>
      <w:pPr>
        <w:pStyle w:val="3"/>
        <w:widowControl/>
        <w:spacing w:line="435" w:lineRule="atLeast"/>
        <w:ind w:firstLine="420"/>
        <w:jc w:val="both"/>
        <w:rPr>
          <w:rFonts w:ascii="宋体" w:cs="宋体"/>
          <w:b/>
          <w:bCs/>
        </w:rPr>
      </w:pPr>
      <w:r>
        <w:rPr>
          <w:rFonts w:hint="eastAsia" w:ascii="宋体" w:hAnsi="宋体" w:cs="宋体"/>
        </w:rPr>
        <w:t>（3）所使用的主要仪器仪表应取得计量合格证书，并在有效期内使用。</w:t>
      </w:r>
      <w:r>
        <w:rPr>
          <w:rFonts w:hint="eastAsia" w:ascii="宋体" w:hAnsi="宋体" w:cs="宋体"/>
          <w:b/>
          <w:bCs/>
        </w:rPr>
        <w:t>（须提供仪器清单及主要设备的校准报告首页）</w:t>
      </w:r>
    </w:p>
    <w:p>
      <w:pPr>
        <w:pStyle w:val="3"/>
        <w:widowControl/>
        <w:spacing w:line="435" w:lineRule="atLeast"/>
        <w:ind w:firstLine="420"/>
        <w:jc w:val="both"/>
        <w:rPr>
          <w:rFonts w:ascii="宋体" w:cs="宋体"/>
        </w:rPr>
      </w:pPr>
      <w:r>
        <w:rPr>
          <w:rFonts w:hint="eastAsia" w:ascii="宋体" w:hAnsi="宋体" w:cs="宋体"/>
        </w:rPr>
        <w:t>（4）测试设备和仪器仪表应具有足够的精度和稳定度。</w:t>
      </w:r>
    </w:p>
    <w:p>
      <w:pPr>
        <w:pStyle w:val="3"/>
        <w:widowControl/>
        <w:spacing w:line="435" w:lineRule="atLeast"/>
        <w:rPr>
          <w:rFonts w:ascii="宋体" w:cs="宋体"/>
        </w:rPr>
      </w:pPr>
      <w:r>
        <w:rPr>
          <w:rStyle w:val="6"/>
          <w:rFonts w:hint="eastAsia" w:ascii="宋体" w:hAnsi="宋体" w:cs="宋体"/>
        </w:rPr>
        <w:t>7、验收要求</w:t>
      </w:r>
    </w:p>
    <w:p>
      <w:pPr>
        <w:pStyle w:val="3"/>
        <w:widowControl/>
        <w:spacing w:line="435" w:lineRule="atLeast"/>
        <w:ind w:firstLine="420"/>
        <w:jc w:val="both"/>
        <w:rPr>
          <w:rFonts w:ascii="宋体" w:hAnsi="宋体" w:cs="宋体"/>
        </w:rPr>
      </w:pPr>
      <w:r>
        <w:rPr>
          <w:rFonts w:hint="eastAsia" w:ascii="宋体" w:hAnsi="宋体" w:cs="宋体"/>
        </w:rPr>
        <w:t>（1）依据《工业和信息化部无线电管理局关于印发〈无线电监测设施测试验证工作规定（试行）〉的通知》（工信部无〔2017〕283号）和已经发布的相关技术标准完成测试验证工作，依据实际结果对所有进行测试验证的站点出具加盖CNAS和CMA标志的检测报告。</w:t>
      </w:r>
    </w:p>
    <w:p>
      <w:pPr>
        <w:pStyle w:val="3"/>
        <w:widowControl/>
        <w:spacing w:line="435" w:lineRule="atLeast"/>
        <w:ind w:firstLine="420"/>
        <w:jc w:val="both"/>
        <w:rPr>
          <w:rFonts w:ascii="宋体" w:hAnsi="宋体" w:cs="宋体"/>
        </w:rPr>
      </w:pPr>
      <w:r>
        <w:rPr>
          <w:rFonts w:hint="eastAsia" w:ascii="宋体" w:hAnsi="宋体" w:cs="宋体"/>
        </w:rPr>
        <w:t>（2）根据本项目测试验证范围和测试结果，出具测试验证总结报告。</w:t>
      </w:r>
    </w:p>
    <w:p>
      <w:pPr>
        <w:pStyle w:val="3"/>
        <w:widowControl/>
        <w:spacing w:line="435" w:lineRule="atLeast"/>
        <w:ind w:firstLine="420"/>
        <w:jc w:val="both"/>
        <w:rPr>
          <w:rFonts w:ascii="宋体" w:hAnsi="宋体" w:cs="宋体"/>
        </w:rPr>
      </w:pPr>
      <w:r>
        <w:rPr>
          <w:rFonts w:hint="eastAsia" w:ascii="宋体" w:hAnsi="宋体" w:cs="宋体"/>
        </w:rPr>
        <w:t>（3）结合测试验证数据，评价设施性能，并向采购人提出合理的整改工作建议。</w:t>
      </w:r>
    </w:p>
    <w:p>
      <w:pPr>
        <w:pStyle w:val="3"/>
        <w:widowControl/>
        <w:spacing w:line="435" w:lineRule="atLeast"/>
        <w:rPr>
          <w:rStyle w:val="6"/>
          <w:rFonts w:hint="eastAsia" w:ascii="宋体" w:hAnsi="宋体" w:cs="宋体"/>
        </w:rPr>
      </w:pPr>
      <w:r>
        <w:rPr>
          <w:rFonts w:hint="eastAsia" w:ascii="宋体" w:hAnsi="宋体" w:cs="宋体"/>
          <w:b/>
        </w:rPr>
        <w:t>8、</w:t>
      </w:r>
      <w:r>
        <w:rPr>
          <w:rStyle w:val="6"/>
          <w:rFonts w:hint="eastAsia" w:ascii="宋体" w:hAnsi="宋体" w:cs="宋体"/>
        </w:rPr>
        <w:t>售后服务</w:t>
      </w:r>
    </w:p>
    <w:p>
      <w:pPr>
        <w:pStyle w:val="3"/>
        <w:widowControl/>
        <w:spacing w:line="435" w:lineRule="atLeast"/>
        <w:ind w:firstLine="480" w:firstLineChars="200"/>
        <w:jc w:val="both"/>
        <w:rPr>
          <w:rFonts w:hint="eastAsia" w:ascii="宋体" w:hAnsi="宋体" w:cs="宋体"/>
        </w:rPr>
      </w:pPr>
      <w:r>
        <w:rPr>
          <w:rStyle w:val="5"/>
          <w:rFonts w:hint="eastAsia" w:ascii="宋体" w:hAnsi="宋体" w:cs="宋体"/>
          <w:lang w:val="en-US" w:eastAsia="zh-CN"/>
        </w:rPr>
        <w:t>成交人</w:t>
      </w:r>
      <w:r>
        <w:rPr>
          <w:rFonts w:hint="eastAsia" w:ascii="宋体" w:hAnsi="宋体" w:cs="宋体"/>
        </w:rPr>
        <w:t>具有完善的售后服务方案，包含售后服务内容、售后服务体系、技术支持方式、售后服务流程、紧急响应流程等，有能力为采购人提供持续的售后服务。项目实施过程中以及实施完成后，成交人应无偿向采购人提供有关本项目的咨询服务，包括（不限于）成交人关于本项目测试方法、实施过程、结果报告的咨询或质</w:t>
      </w:r>
      <w:r>
        <w:rPr>
          <w:rFonts w:hint="eastAsia" w:ascii="宋体" w:hAnsi="宋体" w:cs="宋体"/>
          <w:lang w:eastAsia="zh-CN"/>
        </w:rPr>
        <w:t>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65919"/>
    <w:multiLevelType w:val="singleLevel"/>
    <w:tmpl w:val="46C6591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2M0MTY1ZGM5YzcxYjNkOTJmOWE0M2Q5MTNhOTMifQ=="/>
  </w:docVars>
  <w:rsids>
    <w:rsidRoot w:val="00000000"/>
    <w:rsid w:val="15FD03F0"/>
    <w:rsid w:val="1FB93527"/>
    <w:rsid w:val="236F3B2C"/>
    <w:rsid w:val="241C1B28"/>
    <w:rsid w:val="2A191616"/>
    <w:rsid w:val="2C353DDA"/>
    <w:rsid w:val="310534AB"/>
    <w:rsid w:val="40CA343B"/>
    <w:rsid w:val="49000741"/>
    <w:rsid w:val="55264E71"/>
    <w:rsid w:val="59043C4F"/>
    <w:rsid w:val="5EFA56E6"/>
    <w:rsid w:val="60BF5B6D"/>
    <w:rsid w:val="6DAF7805"/>
    <w:rsid w:val="7E74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 w:type="character" w:styleId="6">
    <w:name w:val="Strong"/>
    <w:basedOn w:val="5"/>
    <w:qFormat/>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1798</Characters>
  <Lines>0</Lines>
  <Paragraphs>0</Paragraphs>
  <TotalTime>1</TotalTime>
  <ScaleCrop>false</ScaleCrop>
  <LinksUpToDate>false</LinksUpToDate>
  <CharactersWithSpaces>1810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2024-06-05T02:58:29Z</cp:lastPrinted>
  <dcterms:modified xsi:type="dcterms:W3CDTF">2024-06-05T02:59:52Z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F08328BDABDC46DFBE64F98B6BF37B3D</vt:lpwstr>
  </property>
</Properties>
</file>